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2FCC" w:rsidRDefault="004436F9">
      <w:pPr>
        <w:pStyle w:val="3GPPHeader"/>
        <w:tabs>
          <w:tab w:val="clear" w:pos="1800"/>
          <w:tab w:val="clear" w:pos="9360"/>
          <w:tab w:val="left" w:pos="1580"/>
          <w:tab w:val="left" w:pos="2680"/>
        </w:tabs>
        <w:snapToGrid w:val="0"/>
        <w:rPr>
          <w:rFonts w:cs="Arial"/>
          <w:sz w:val="22"/>
        </w:rPr>
      </w:pPr>
      <w:bookmarkStart w:id="0" w:name="OLE_LINK1"/>
      <w:bookmarkStart w:id="1" w:name="OLE_LINK2"/>
      <w:r>
        <w:rPr>
          <w:rFonts w:cs="Arial"/>
          <w:sz w:val="22"/>
        </w:rPr>
        <w:t>3GPP TSG RAN WG1#11</w:t>
      </w:r>
      <w:r>
        <w:rPr>
          <w:rFonts w:cs="Arial" w:hint="eastAsia"/>
          <w:sz w:val="22"/>
        </w:rPr>
        <w:t>8</w:t>
      </w:r>
      <w:r>
        <w:rPr>
          <w:rFonts w:cs="Arial"/>
          <w:sz w:val="22"/>
        </w:rPr>
        <w:t xml:space="preserve">                                                 R1-24</w:t>
      </w:r>
      <w:r>
        <w:rPr>
          <w:rFonts w:cs="Arial" w:hint="eastAsia"/>
          <w:sz w:val="22"/>
        </w:rPr>
        <w:t>06131</w:t>
      </w:r>
    </w:p>
    <w:p w:rsidR="001D2FCC" w:rsidRDefault="004436F9">
      <w:pPr>
        <w:rPr>
          <w:rFonts w:ascii="Arial" w:eastAsia="宋体" w:hAnsi="Arial" w:cs="Arial"/>
          <w:b/>
          <w:kern w:val="2"/>
        </w:rPr>
      </w:pPr>
      <w:r>
        <w:rPr>
          <w:rFonts w:ascii="Arial" w:eastAsia="宋体" w:hAnsi="Arial" w:cs="Arial" w:hint="eastAsia"/>
          <w:b/>
          <w:bCs/>
          <w:kern w:val="2"/>
        </w:rPr>
        <w:t>Maastricht, NL, August 19</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23</w:t>
      </w:r>
      <w:r>
        <w:rPr>
          <w:rFonts w:ascii="Arial" w:eastAsia="宋体" w:hAnsi="Arial" w:cs="Arial" w:hint="eastAsia"/>
          <w:b/>
          <w:bCs/>
          <w:kern w:val="2"/>
          <w:vertAlign w:val="superscript"/>
        </w:rPr>
        <w:t>rd</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4</w:t>
      </w:r>
    </w:p>
    <w:p w:rsidR="001D2FCC" w:rsidRDefault="004436F9">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w:t>
      </w:r>
      <w:proofErr w:type="spellStart"/>
      <w:r>
        <w:rPr>
          <w:rFonts w:cs="Arial" w:hint="eastAsia"/>
          <w:sz w:val="22"/>
        </w:rPr>
        <w:t>Sanechips</w:t>
      </w:r>
      <w:proofErr w:type="spellEnd"/>
    </w:p>
    <w:p w:rsidR="001D2FCC" w:rsidRDefault="004436F9">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support of </w:t>
      </w:r>
      <w:proofErr w:type="spellStart"/>
      <w:r>
        <w:rPr>
          <w:rFonts w:cs="Arial"/>
          <w:color w:val="000000"/>
          <w:sz w:val="22"/>
          <w:shd w:val="clear" w:color="auto" w:fill="FFFFFF"/>
        </w:rPr>
        <w:t>RedCap</w:t>
      </w:r>
      <w:proofErr w:type="spellEnd"/>
      <w:r>
        <w:rPr>
          <w:rFonts w:cs="Arial"/>
          <w:color w:val="000000"/>
          <w:sz w:val="22"/>
          <w:shd w:val="clear" w:color="auto" w:fill="FFFFFF"/>
        </w:rPr>
        <w:t>/</w:t>
      </w:r>
      <w:proofErr w:type="spellStart"/>
      <w:r>
        <w:rPr>
          <w:rFonts w:cs="Arial"/>
          <w:color w:val="000000"/>
          <w:sz w:val="22"/>
          <w:shd w:val="clear" w:color="auto" w:fill="FFFFFF"/>
        </w:rPr>
        <w:t>eRedCap</w:t>
      </w:r>
      <w:proofErr w:type="spellEnd"/>
      <w:r>
        <w:rPr>
          <w:rFonts w:cs="Arial"/>
          <w:color w:val="000000"/>
          <w:sz w:val="22"/>
          <w:shd w:val="clear" w:color="auto" w:fill="FFFFFF"/>
        </w:rPr>
        <w:t xml:space="preserve"> UEs for NR NTN</w:t>
      </w:r>
    </w:p>
    <w:p w:rsidR="001D2FCC" w:rsidRDefault="004436F9">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rsidR="001D2FCC" w:rsidRDefault="004436F9">
      <w:pPr>
        <w:pBdr>
          <w:bottom w:val="single" w:sz="6" w:space="1" w:color="auto"/>
        </w:pBdr>
        <w:snapToGrid w:val="0"/>
        <w:jc w:val="both"/>
        <w:rPr>
          <w:rFonts w:ascii="Arial" w:hAnsi="Arial"/>
          <w:b/>
        </w:rPr>
      </w:pPr>
      <w:r>
        <w:rPr>
          <w:rFonts w:ascii="Arial" w:hAnsi="Arial"/>
          <w:b/>
        </w:rPr>
        <w:t xml:space="preserve">Document for: </w:t>
      </w:r>
      <w:r>
        <w:rPr>
          <w:rFonts w:ascii="Arial" w:hAnsi="Arial"/>
          <w:b/>
        </w:rPr>
        <w:t>Discussion</w:t>
      </w:r>
      <w:bookmarkEnd w:id="0"/>
      <w:bookmarkEnd w:id="1"/>
    </w:p>
    <w:p w:rsidR="001D2FCC" w:rsidRDefault="004436F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1D2FCC" w:rsidRDefault="004436F9">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RAN1#117 meeting, the support of Redcap/</w:t>
      </w:r>
      <w:proofErr w:type="spellStart"/>
      <w:r>
        <w:rPr>
          <w:rFonts w:ascii="Times New Roman" w:eastAsia="宋体" w:hAnsi="Times New Roman" w:cs="Times New Roman"/>
          <w:sz w:val="20"/>
          <w:szCs w:val="20"/>
        </w:rPr>
        <w:t>eRedcap</w:t>
      </w:r>
      <w:proofErr w:type="spellEnd"/>
      <w:r>
        <w:rPr>
          <w:rFonts w:ascii="Times New Roman" w:eastAsia="宋体" w:hAnsi="Times New Roman" w:cs="Times New Roman"/>
          <w:sz w:val="20"/>
          <w:szCs w:val="20"/>
        </w:rPr>
        <w:t xml:space="preserve"> UEs for NR-NTN was </w:t>
      </w:r>
      <w:r>
        <w:rPr>
          <w:rFonts w:ascii="Times New Roman" w:eastAsia="宋体" w:hAnsi="Times New Roman" w:cs="Times New Roman" w:hint="eastAsia"/>
          <w:sz w:val="20"/>
          <w:szCs w:val="20"/>
        </w:rPr>
        <w:t xml:space="preserve">further </w:t>
      </w:r>
      <w:r>
        <w:rPr>
          <w:rFonts w:ascii="Times New Roman" w:eastAsia="宋体" w:hAnsi="Times New Roman" w:cs="Times New Roman"/>
          <w:sz w:val="20"/>
          <w:szCs w:val="20"/>
        </w:rPr>
        <w:t xml:space="preserve">discussed and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following conclusions </w:t>
      </w:r>
      <w:r>
        <w:rPr>
          <w:rFonts w:ascii="Times New Roman" w:eastAsia="宋体" w:hAnsi="Times New Roman" w:cs="Times New Roman" w:hint="eastAsia"/>
          <w:sz w:val="20"/>
          <w:szCs w:val="20"/>
        </w:rPr>
        <w:t>/</w:t>
      </w:r>
      <w:r>
        <w:rPr>
          <w:rFonts w:ascii="Times New Roman" w:eastAsia="宋体" w:hAnsi="Times New Roman" w:cs="Times New Roman"/>
          <w:sz w:val="20"/>
          <w:szCs w:val="20"/>
        </w:rPr>
        <w:t>observations are achieved</w:t>
      </w:r>
      <w:r>
        <w:rPr>
          <w:rFonts w:ascii="Times New Roman" w:eastAsia="宋体" w:hAnsi="Times New Roman" w:cs="Times New Roman" w:hint="eastAsia"/>
          <w:sz w:val="20"/>
          <w:szCs w:val="20"/>
        </w:rPr>
        <w:t xml:space="preserve"> [1]</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1D2FCC">
        <w:tc>
          <w:tcPr>
            <w:tcW w:w="9350" w:type="dxa"/>
          </w:tcPr>
          <w:p w:rsidR="001D2FCC" w:rsidRDefault="004436F9">
            <w:pPr>
              <w:spacing w:after="0"/>
              <w:rPr>
                <w:rFonts w:ascii="Times New Roman" w:hAnsi="Times New Roman" w:cs="Times New Roman"/>
                <w:b/>
                <w:bCs/>
                <w:sz w:val="20"/>
                <w:szCs w:val="20"/>
              </w:rPr>
            </w:pPr>
            <w:r>
              <w:rPr>
                <w:rFonts w:ascii="Times New Roman" w:hAnsi="Times New Roman" w:cs="Times New Roman"/>
                <w:b/>
                <w:bCs/>
                <w:sz w:val="20"/>
                <w:szCs w:val="20"/>
              </w:rPr>
              <w:t>Conclusion</w:t>
            </w:r>
          </w:p>
          <w:p w:rsidR="001D2FCC" w:rsidRDefault="004436F9">
            <w:pPr>
              <w:spacing w:after="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Rel-19 HD-FDD </w:t>
            </w:r>
            <w:proofErr w:type="spellStart"/>
            <w:r>
              <w:rPr>
                <w:rFonts w:ascii="Times New Roman" w:eastAsia="宋体" w:hAnsi="Times New Roman" w:cs="Times New Roman"/>
                <w:sz w:val="20"/>
                <w:szCs w:val="20"/>
                <w:lang w:val="en-GB"/>
              </w:rPr>
              <w:t>RedCap</w:t>
            </w:r>
            <w:proofErr w:type="spellEnd"/>
            <w:r>
              <w:rPr>
                <w:rFonts w:ascii="Times New Roman" w:eastAsia="宋体" w:hAnsi="Times New Roman" w:cs="Times New Roman"/>
                <w:sz w:val="20"/>
                <w:szCs w:val="20"/>
                <w:lang w:val="en-GB"/>
              </w:rPr>
              <w:t>/</w:t>
            </w:r>
            <w:proofErr w:type="spellStart"/>
            <w:r>
              <w:rPr>
                <w:rFonts w:ascii="Times New Roman" w:eastAsia="宋体" w:hAnsi="Times New Roman" w:cs="Times New Roman"/>
                <w:sz w:val="20"/>
                <w:szCs w:val="20"/>
                <w:lang w:val="en-GB"/>
              </w:rPr>
              <w:t>eRedCap</w:t>
            </w:r>
            <w:proofErr w:type="spellEnd"/>
            <w:r>
              <w:rPr>
                <w:rFonts w:ascii="Times New Roman" w:eastAsia="宋体" w:hAnsi="Times New Roman" w:cs="Times New Roman"/>
                <w:sz w:val="20"/>
                <w:szCs w:val="20"/>
                <w:lang w:val="en-GB"/>
              </w:rPr>
              <w:t xml:space="preserve"> UE in NTN, the issues caused by TA </w:t>
            </w:r>
            <w:r>
              <w:rPr>
                <w:rFonts w:ascii="Times New Roman" w:eastAsia="宋体" w:hAnsi="Times New Roman" w:cs="Times New Roman"/>
                <w:sz w:val="20"/>
                <w:szCs w:val="20"/>
                <w:lang w:val="en-GB"/>
              </w:rPr>
              <w:t>mismatch between actual TA used by the UE and assumed TA for the UE at the gNB should be mitigated for collision cases 3 and 4.</w:t>
            </w:r>
          </w:p>
          <w:p w:rsidR="001D2FCC" w:rsidRDefault="004436F9">
            <w:pPr>
              <w:pStyle w:val="af6"/>
              <w:numPr>
                <w:ilvl w:val="0"/>
                <w:numId w:val="4"/>
              </w:numPr>
              <w:spacing w:after="0"/>
              <w:ind w:left="1240"/>
              <w:rPr>
                <w:rFonts w:ascii="Times New Roman" w:hAnsi="Times New Roman" w:cs="Times New Roman"/>
                <w:sz w:val="20"/>
                <w:szCs w:val="20"/>
              </w:rPr>
            </w:pPr>
            <w:r>
              <w:rPr>
                <w:rFonts w:ascii="Times New Roman" w:hAnsi="Times New Roman" w:cs="Times New Roman"/>
                <w:sz w:val="20"/>
                <w:szCs w:val="20"/>
              </w:rPr>
              <w:t>Note: further discussion on other cases is not precluded.</w:t>
            </w:r>
          </w:p>
          <w:p w:rsidR="001D2FCC" w:rsidRDefault="004436F9">
            <w:pPr>
              <w:spacing w:after="0"/>
              <w:rPr>
                <w:rFonts w:ascii="Times New Roman" w:hAnsi="Times New Roman" w:cs="Times New Roman"/>
                <w:b/>
                <w:sz w:val="20"/>
                <w:szCs w:val="20"/>
              </w:rPr>
            </w:pPr>
            <w:r>
              <w:rPr>
                <w:rFonts w:ascii="Times New Roman" w:hAnsi="Times New Roman" w:cs="Times New Roman"/>
                <w:b/>
                <w:sz w:val="20"/>
                <w:szCs w:val="20"/>
              </w:rPr>
              <w:t>Conclusion</w:t>
            </w:r>
          </w:p>
          <w:p w:rsidR="001D2FCC" w:rsidRDefault="004436F9">
            <w:pPr>
              <w:spacing w:after="0"/>
              <w:rPr>
                <w:rFonts w:ascii="Times New Roman" w:eastAsia="宋体" w:hAnsi="Times New Roman" w:cs="Times New Roman"/>
                <w:b/>
                <w:sz w:val="20"/>
                <w:szCs w:val="20"/>
              </w:rPr>
            </w:pPr>
            <w:r>
              <w:rPr>
                <w:rFonts w:ascii="Times New Roman" w:hAnsi="Times New Roman" w:cs="Times New Roman"/>
                <w:sz w:val="20"/>
                <w:szCs w:val="20"/>
              </w:rPr>
              <w:t xml:space="preserve">For </w:t>
            </w:r>
            <w:r>
              <w:rPr>
                <w:rFonts w:ascii="Times New Roman" w:hAnsi="Times New Roman" w:cs="Times New Roman"/>
                <w:color w:val="000000"/>
                <w:sz w:val="20"/>
                <w:szCs w:val="20"/>
              </w:rPr>
              <w:t>collision</w:t>
            </w:r>
            <w:r>
              <w:rPr>
                <w:rFonts w:ascii="Times New Roman" w:hAnsi="Times New Roman" w:cs="Times New Roman"/>
                <w:sz w:val="20"/>
                <w:szCs w:val="20"/>
              </w:rPr>
              <w:t xml:space="preserve"> cases 1, 2, 5 and 6, </w:t>
            </w:r>
            <w:r>
              <w:rPr>
                <w:rFonts w:ascii="Times New Roman" w:eastAsia="宋体" w:hAnsi="Times New Roman" w:cs="Times New Roman"/>
                <w:sz w:val="20"/>
                <w:szCs w:val="20"/>
              </w:rPr>
              <w:t>the existing priority ru</w:t>
            </w:r>
            <w:r>
              <w:rPr>
                <w:rFonts w:ascii="Times New Roman" w:eastAsia="宋体" w:hAnsi="Times New Roman" w:cs="Times New Roman"/>
                <w:sz w:val="20"/>
                <w:szCs w:val="20"/>
              </w:rPr>
              <w:t xml:space="preserve">les can be reused </w:t>
            </w:r>
            <w:r>
              <w:rPr>
                <w:rFonts w:ascii="Times New Roman" w:eastAsia="宋体" w:hAnsi="Times New Roman" w:cs="Times New Roman"/>
                <w:bCs/>
                <w:sz w:val="20"/>
                <w:szCs w:val="20"/>
              </w:rPr>
              <w:t>for a HD-FDD (e)</w:t>
            </w:r>
            <w:proofErr w:type="spellStart"/>
            <w:r>
              <w:rPr>
                <w:rFonts w:ascii="Times New Roman" w:eastAsia="宋体" w:hAnsi="Times New Roman" w:cs="Times New Roman"/>
                <w:bCs/>
                <w:sz w:val="20"/>
                <w:szCs w:val="20"/>
              </w:rPr>
              <w:t>RedCap</w:t>
            </w:r>
            <w:proofErr w:type="spellEnd"/>
            <w:r>
              <w:rPr>
                <w:rFonts w:ascii="Times New Roman" w:eastAsia="宋体" w:hAnsi="Times New Roman" w:cs="Times New Roman"/>
                <w:bCs/>
                <w:sz w:val="20"/>
                <w:szCs w:val="20"/>
              </w:rPr>
              <w:t xml:space="preserve"> UE in NTN</w:t>
            </w:r>
            <w:r>
              <w:rPr>
                <w:rFonts w:ascii="Times New Roman" w:eastAsia="宋体" w:hAnsi="Times New Roman" w:cs="Times New Roman"/>
                <w:sz w:val="20"/>
                <w:szCs w:val="20"/>
              </w:rPr>
              <w:t>.</w:t>
            </w:r>
          </w:p>
          <w:p w:rsidR="001D2FCC" w:rsidRDefault="001D2FCC">
            <w:pPr>
              <w:spacing w:after="0"/>
              <w:rPr>
                <w:rFonts w:ascii="Times New Roman" w:hAnsi="Times New Roman" w:cs="Times New Roman"/>
                <w:sz w:val="20"/>
                <w:szCs w:val="20"/>
                <w:highlight w:val="yellow"/>
              </w:rPr>
            </w:pPr>
          </w:p>
          <w:p w:rsidR="001D2FCC" w:rsidRDefault="004436F9">
            <w:pPr>
              <w:spacing w:after="0"/>
              <w:rPr>
                <w:rFonts w:ascii="Times New Roman" w:eastAsia="宋体" w:hAnsi="Times New Roman" w:cs="Times New Roman"/>
                <w:b/>
                <w:sz w:val="20"/>
                <w:szCs w:val="20"/>
              </w:rPr>
            </w:pPr>
            <w:r>
              <w:rPr>
                <w:rFonts w:ascii="Times New Roman" w:eastAsia="宋体" w:hAnsi="Times New Roman" w:cs="Times New Roman"/>
                <w:b/>
                <w:sz w:val="20"/>
                <w:szCs w:val="20"/>
              </w:rPr>
              <w:t>Observation</w:t>
            </w:r>
          </w:p>
          <w:p w:rsidR="001D2FCC" w:rsidRDefault="004436F9">
            <w:pPr>
              <w:spacing w:after="0"/>
              <w:rPr>
                <w:rFonts w:ascii="Times New Roman" w:eastAsia="宋体" w:hAnsi="Times New Roman" w:cs="Times New Roman"/>
                <w:sz w:val="20"/>
                <w:szCs w:val="20"/>
              </w:rPr>
            </w:pPr>
            <w:r>
              <w:rPr>
                <w:rFonts w:ascii="Times New Roman" w:eastAsia="宋体" w:hAnsi="Times New Roman" w:cs="Times New Roman"/>
                <w:sz w:val="20"/>
                <w:szCs w:val="20"/>
              </w:rPr>
              <w:t xml:space="preserve">TA reporting is beneficial to mitigate the TA mismatch between actual TA used by the UE and assumed TA for the UE at the gNB for HD-FDD </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w:t>
            </w:r>
            <w:proofErr w:type="spellStart"/>
            <w:r>
              <w:rPr>
                <w:rFonts w:ascii="Times New Roman" w:eastAsia="宋体" w:hAnsi="Times New Roman" w:cs="Times New Roman"/>
                <w:sz w:val="20"/>
                <w:szCs w:val="20"/>
              </w:rPr>
              <w:t>eRedCap</w:t>
            </w:r>
            <w:proofErr w:type="spellEnd"/>
            <w:r>
              <w:rPr>
                <w:rFonts w:ascii="Times New Roman" w:eastAsia="宋体" w:hAnsi="Times New Roman" w:cs="Times New Roman"/>
                <w:sz w:val="20"/>
                <w:szCs w:val="20"/>
              </w:rPr>
              <w:t xml:space="preserve"> UE in NTN from RAN1 perspective.</w:t>
            </w:r>
          </w:p>
          <w:p w:rsidR="001D2FCC" w:rsidRDefault="004436F9">
            <w:pPr>
              <w:pStyle w:val="af6"/>
              <w:numPr>
                <w:ilvl w:val="0"/>
                <w:numId w:val="4"/>
              </w:numPr>
              <w:spacing w:after="0"/>
              <w:ind w:left="1240"/>
              <w:rPr>
                <w:rFonts w:ascii="Times New Roman" w:eastAsia="宋体" w:hAnsi="Times New Roman" w:cs="Times New Roman"/>
                <w:kern w:val="2"/>
                <w:sz w:val="20"/>
                <w:szCs w:val="20"/>
                <w:lang w:val="en-GB"/>
              </w:rPr>
            </w:pPr>
            <w:r>
              <w:rPr>
                <w:rFonts w:ascii="Times New Roman" w:hAnsi="Times New Roman" w:cs="Times New Roman"/>
                <w:sz w:val="20"/>
                <w:szCs w:val="20"/>
              </w:rPr>
              <w:t xml:space="preserve">Note: </w:t>
            </w:r>
            <w:r>
              <w:rPr>
                <w:rFonts w:ascii="Times New Roman" w:hAnsi="Times New Roman" w:cs="Times New Roman"/>
                <w:sz w:val="20"/>
                <w:szCs w:val="20"/>
              </w:rPr>
              <w:t>complexity, power consumption and signaling overhead impact of TA reporting for (e)redcap UEs was not investigated in this work item</w:t>
            </w:r>
          </w:p>
        </w:tc>
      </w:tr>
    </w:tbl>
    <w:p w:rsidR="001D2FCC" w:rsidRDefault="004436F9">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the progress in previous meetings, an updated WID for Rel-19 NR NTN was approved in RAN#104 plenary meeting [2]. </w:t>
      </w:r>
      <w:r>
        <w:rPr>
          <w:rFonts w:ascii="Times New Roman" w:eastAsia="宋体" w:hAnsi="Times New Roman" w:cs="Times New Roman" w:hint="eastAsia"/>
          <w:sz w:val="20"/>
          <w:szCs w:val="20"/>
        </w:rPr>
        <w:t xml:space="preserve">In the updated WID, only HD-FDD collisions cases 3 and 4 have been identified to be enhanced in RAN1. New objects for support of </w:t>
      </w:r>
      <w:proofErr w:type="spellStart"/>
      <w:r>
        <w:rPr>
          <w:rFonts w:ascii="Times New Roman" w:eastAsia="宋体" w:hAnsi="Times New Roman" w:cs="Times New Roman" w:hint="eastAsia"/>
          <w:sz w:val="20"/>
          <w:szCs w:val="20"/>
        </w:rPr>
        <w:t>RedCap</w:t>
      </w:r>
      <w:proofErr w:type="spellEnd"/>
      <w:r>
        <w:rPr>
          <w:rFonts w:ascii="Times New Roman" w:eastAsia="宋体" w:hAnsi="Times New Roman" w:cs="Times New Roman" w:hint="eastAsia"/>
          <w:sz w:val="20"/>
          <w:szCs w:val="20"/>
        </w:rPr>
        <w:t>/</w:t>
      </w:r>
      <w:proofErr w:type="spellStart"/>
      <w:r>
        <w:rPr>
          <w:rFonts w:ascii="Times New Roman" w:eastAsia="宋体" w:hAnsi="Times New Roman" w:cs="Times New Roman" w:hint="eastAsia"/>
          <w:sz w:val="20"/>
          <w:szCs w:val="20"/>
        </w:rPr>
        <w:t>eRedCap</w:t>
      </w:r>
      <w:proofErr w:type="spellEnd"/>
      <w:r>
        <w:rPr>
          <w:rFonts w:ascii="Times New Roman" w:eastAsia="宋体" w:hAnsi="Times New Roman" w:cs="Times New Roman" w:hint="eastAsia"/>
          <w:sz w:val="20"/>
          <w:szCs w:val="20"/>
        </w:rPr>
        <w:t xml:space="preserve"> UEs for NR NTN are as follows.</w:t>
      </w:r>
    </w:p>
    <w:tbl>
      <w:tblPr>
        <w:tblStyle w:val="af2"/>
        <w:tblW w:w="0" w:type="auto"/>
        <w:tblLook w:val="04A0" w:firstRow="1" w:lastRow="0" w:firstColumn="1" w:lastColumn="0" w:noHBand="0" w:noVBand="1"/>
      </w:tblPr>
      <w:tblGrid>
        <w:gridCol w:w="9350"/>
      </w:tblGrid>
      <w:tr w:rsidR="001D2FCC">
        <w:tc>
          <w:tcPr>
            <w:tcW w:w="9350" w:type="dxa"/>
          </w:tcPr>
          <w:p w:rsidR="001D2FCC" w:rsidRDefault="004436F9">
            <w:pPr>
              <w:overflowPunct w:val="0"/>
              <w:autoSpaceDE w:val="0"/>
              <w:autoSpaceDN w:val="0"/>
              <w:adjustRightInd w:val="0"/>
              <w:spacing w:after="0" w:line="276" w:lineRule="auto"/>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rPr>
              <w:t xml:space="preserve">5. </w:t>
            </w:r>
            <w:r>
              <w:rPr>
                <w:rFonts w:ascii="Times New Roman" w:eastAsia="Malgun Gothic" w:hAnsi="Times New Roman" w:cs="Times New Roman"/>
                <w:sz w:val="20"/>
                <w:szCs w:val="20"/>
                <w:lang w:eastAsia="ko-KR"/>
              </w:rPr>
              <w:t xml:space="preserve">Support of Rel-17 </w:t>
            </w:r>
            <w:proofErr w:type="spellStart"/>
            <w:r>
              <w:rPr>
                <w:rFonts w:ascii="Times New Roman" w:eastAsia="Malgun Gothic" w:hAnsi="Times New Roman" w:cs="Times New Roman"/>
                <w:sz w:val="20"/>
                <w:szCs w:val="20"/>
                <w:lang w:eastAsia="ko-KR"/>
              </w:rPr>
              <w:t>RedCap</w:t>
            </w:r>
            <w:proofErr w:type="spellEnd"/>
            <w:r>
              <w:rPr>
                <w:rFonts w:ascii="Times New Roman" w:eastAsia="Malgun Gothic" w:hAnsi="Times New Roman" w:cs="Times New Roman"/>
                <w:sz w:val="20"/>
                <w:szCs w:val="20"/>
                <w:lang w:eastAsia="ko-KR"/>
              </w:rPr>
              <w:t xml:space="preserve"> and Rel-18 </w:t>
            </w:r>
            <w:proofErr w:type="spellStart"/>
            <w:r>
              <w:rPr>
                <w:rFonts w:ascii="Times New Roman" w:eastAsia="Malgun Gothic" w:hAnsi="Times New Roman" w:cs="Times New Roman"/>
                <w:sz w:val="20"/>
                <w:szCs w:val="20"/>
                <w:lang w:eastAsia="ko-KR"/>
              </w:rPr>
              <w:t>eRedCap</w:t>
            </w:r>
            <w:proofErr w:type="spellEnd"/>
            <w:r>
              <w:rPr>
                <w:rFonts w:ascii="Times New Roman" w:eastAsia="Malgun Gothic" w:hAnsi="Times New Roman" w:cs="Times New Roman"/>
                <w:sz w:val="20"/>
                <w:szCs w:val="20"/>
                <w:lang w:eastAsia="ko-KR"/>
              </w:rPr>
              <w:t xml:space="preserve"> UEs with NR NTN operating in FR1-N</w:t>
            </w:r>
            <w:r>
              <w:rPr>
                <w:rFonts w:ascii="Times New Roman" w:eastAsia="Malgun Gothic" w:hAnsi="Times New Roman" w:cs="Times New Roman"/>
                <w:sz w:val="20"/>
                <w:szCs w:val="20"/>
                <w:lang w:eastAsia="ko-KR"/>
              </w:rPr>
              <w:t>TN bands [RAN4, RAN1]</w:t>
            </w:r>
          </w:p>
          <w:p w:rsidR="001D2FCC" w:rsidRDefault="004436F9">
            <w:pPr>
              <w:widowControl w:val="0"/>
              <w:numPr>
                <w:ilvl w:val="0"/>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For full-duplex and half duplex FDD </w:t>
            </w:r>
            <w:proofErr w:type="spellStart"/>
            <w:r>
              <w:rPr>
                <w:rFonts w:ascii="Times New Roman" w:eastAsia="Calibri" w:hAnsi="Times New Roman" w:cs="Times New Roman"/>
                <w:sz w:val="20"/>
                <w:szCs w:val="20"/>
              </w:rPr>
              <w:t>RedCap</w:t>
            </w:r>
            <w:proofErr w:type="spellEnd"/>
            <w:r>
              <w:rPr>
                <w:rFonts w:ascii="Times New Roman" w:eastAsia="Calibri" w:hAnsi="Times New Roman" w:cs="Times New Roman"/>
                <w:sz w:val="20"/>
                <w:szCs w:val="20"/>
              </w:rPr>
              <w:t xml:space="preserve"> and </w:t>
            </w:r>
            <w:proofErr w:type="spellStart"/>
            <w:r>
              <w:rPr>
                <w:rFonts w:ascii="Times New Roman" w:eastAsia="Calibri" w:hAnsi="Times New Roman" w:cs="Times New Roman"/>
                <w:sz w:val="20"/>
                <w:szCs w:val="20"/>
              </w:rPr>
              <w:t>eRedCap</w:t>
            </w:r>
            <w:proofErr w:type="spellEnd"/>
            <w:r>
              <w:rPr>
                <w:rFonts w:ascii="Times New Roman" w:eastAsia="Calibri" w:hAnsi="Times New Roman" w:cs="Times New Roman"/>
                <w:sz w:val="20"/>
                <w:szCs w:val="20"/>
              </w:rPr>
              <w:t xml:space="preserve"> UEs, define the RF and RRM requirements [RAN4]</w:t>
            </w:r>
          </w:p>
          <w:p w:rsidR="001D2FCC" w:rsidRDefault="004436F9">
            <w:pPr>
              <w:widowControl w:val="0"/>
              <w:numPr>
                <w:ilvl w:val="0"/>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For HD-FDD </w:t>
            </w:r>
            <w:proofErr w:type="spellStart"/>
            <w:r>
              <w:rPr>
                <w:rFonts w:ascii="Times New Roman" w:eastAsia="Calibri" w:hAnsi="Times New Roman" w:cs="Times New Roman"/>
                <w:sz w:val="20"/>
                <w:szCs w:val="20"/>
              </w:rPr>
              <w:t>RedCap</w:t>
            </w:r>
            <w:proofErr w:type="spellEnd"/>
            <w:r>
              <w:rPr>
                <w:rFonts w:ascii="Times New Roman" w:eastAsia="Calibri" w:hAnsi="Times New Roman" w:cs="Times New Roman"/>
                <w:sz w:val="20"/>
                <w:szCs w:val="20"/>
              </w:rPr>
              <w:t xml:space="preserve"> UEs and </w:t>
            </w:r>
            <w:proofErr w:type="spellStart"/>
            <w:r>
              <w:rPr>
                <w:rFonts w:ascii="Times New Roman" w:eastAsia="Calibri" w:hAnsi="Times New Roman" w:cs="Times New Roman"/>
                <w:sz w:val="20"/>
                <w:szCs w:val="20"/>
              </w:rPr>
              <w:t>eRedCap</w:t>
            </w:r>
            <w:proofErr w:type="spellEnd"/>
            <w:r>
              <w:rPr>
                <w:rFonts w:ascii="Times New Roman" w:eastAsia="Calibri" w:hAnsi="Times New Roman" w:cs="Times New Roman"/>
                <w:sz w:val="20"/>
                <w:szCs w:val="20"/>
              </w:rPr>
              <w:t xml:space="preserve"> UEs, specify enhancements for mitigating issues caused by TA mismatch between actual TA used by </w:t>
            </w:r>
            <w:r>
              <w:rPr>
                <w:rFonts w:ascii="Times New Roman" w:eastAsia="Calibri" w:hAnsi="Times New Roman" w:cs="Times New Roman"/>
                <w:sz w:val="20"/>
                <w:szCs w:val="20"/>
              </w:rPr>
              <w:t>the UE and assumed TA for the UE at the gNB [RAN1]</w:t>
            </w:r>
          </w:p>
          <w:p w:rsidR="001D2FCC" w:rsidRDefault="004436F9">
            <w:pPr>
              <w:widowControl w:val="0"/>
              <w:numPr>
                <w:ilvl w:val="1"/>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Enhancements are targeted for the following HD collisions cases (cases 3 and 4):</w:t>
            </w:r>
          </w:p>
          <w:p w:rsidR="001D2FCC" w:rsidRDefault="004436F9">
            <w:pPr>
              <w:widowControl w:val="0"/>
              <w:numPr>
                <w:ilvl w:val="2"/>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Semi-statically configured DL reception collides with semi-statically configured UL transmission </w:t>
            </w:r>
          </w:p>
          <w:p w:rsidR="001D2FCC" w:rsidRDefault="004436F9">
            <w:pPr>
              <w:widowControl w:val="0"/>
              <w:numPr>
                <w:ilvl w:val="2"/>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Dynamically scheduled DL </w:t>
            </w:r>
            <w:r>
              <w:rPr>
                <w:rFonts w:ascii="Times New Roman" w:eastAsia="Calibri" w:hAnsi="Times New Roman" w:cs="Times New Roman"/>
                <w:sz w:val="20"/>
                <w:szCs w:val="20"/>
              </w:rPr>
              <w:t>reception collides with dynamic scheduled UL transmission</w:t>
            </w:r>
          </w:p>
          <w:p w:rsidR="001D2FCC" w:rsidRDefault="004436F9">
            <w:pPr>
              <w:widowControl w:val="0"/>
              <w:numPr>
                <w:ilvl w:val="1"/>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Note: enhancements for other HD collision cases are not targeted. Enhancements for HD collision cases 3 and 4 that may improve other HD collision cases are not precluded.</w:t>
            </w:r>
          </w:p>
          <w:p w:rsidR="001D2FCC" w:rsidRDefault="004436F9">
            <w:pPr>
              <w:widowControl w:val="0"/>
              <w:numPr>
                <w:ilvl w:val="1"/>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Note: potential work in RAN</w:t>
            </w:r>
            <w:r>
              <w:rPr>
                <w:rFonts w:ascii="Times New Roman" w:eastAsia="Calibri" w:hAnsi="Times New Roman" w:cs="Times New Roman"/>
                <w:sz w:val="20"/>
                <w:szCs w:val="20"/>
              </w:rPr>
              <w:t>2, if any, starts after RAN1 has decided on the solution.</w:t>
            </w:r>
          </w:p>
          <w:p w:rsidR="001D2FCC" w:rsidRDefault="004436F9">
            <w:pPr>
              <w:widowControl w:val="0"/>
              <w:numPr>
                <w:ilvl w:val="0"/>
                <w:numId w:val="5"/>
              </w:numPr>
              <w:spacing w:after="0" w:line="276"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Notes for this objective:</w:t>
            </w:r>
          </w:p>
          <w:p w:rsidR="001D2FCC" w:rsidRDefault="004436F9">
            <w:pPr>
              <w:widowControl w:val="0"/>
              <w:numPr>
                <w:ilvl w:val="1"/>
                <w:numId w:val="5"/>
              </w:numPr>
              <w:spacing w:after="0" w:line="276" w:lineRule="auto"/>
              <w:contextualSpacing/>
              <w:jc w:val="both"/>
              <w:rPr>
                <w:rFonts w:ascii="Times" w:eastAsia="宋体" w:hAnsi="Times" w:cs="Times New Roman"/>
                <w:kern w:val="2"/>
                <w:sz w:val="20"/>
                <w:szCs w:val="20"/>
                <w:lang w:val="en-GB"/>
              </w:rPr>
            </w:pPr>
            <w:r>
              <w:rPr>
                <w:rFonts w:ascii="Times New Roman" w:eastAsia="Calibri" w:hAnsi="Times New Roman" w:cs="Times New Roman"/>
                <w:sz w:val="20"/>
                <w:szCs w:val="20"/>
              </w:rPr>
              <w:t xml:space="preserve">GNSS (Global Navigation Satellite Systems) capabilities and simultaneous GNSS and NR-NTN operation is supported in </w:t>
            </w:r>
            <w:proofErr w:type="spellStart"/>
            <w:r>
              <w:rPr>
                <w:rFonts w:ascii="Times New Roman" w:eastAsia="Calibri" w:hAnsi="Times New Roman" w:cs="Times New Roman"/>
                <w:sz w:val="20"/>
                <w:szCs w:val="20"/>
              </w:rPr>
              <w:t>RedCap</w:t>
            </w:r>
            <w:proofErr w:type="spellEnd"/>
            <w:r>
              <w:rPr>
                <w:rFonts w:ascii="Times New Roman" w:eastAsia="Calibri" w:hAnsi="Times New Roman" w:cs="Times New Roman"/>
                <w:sz w:val="20"/>
                <w:szCs w:val="20"/>
              </w:rPr>
              <w:t>/</w:t>
            </w:r>
            <w:proofErr w:type="spellStart"/>
            <w:r>
              <w:rPr>
                <w:rFonts w:ascii="Times New Roman" w:eastAsia="Calibri" w:hAnsi="Times New Roman" w:cs="Times New Roman"/>
                <w:sz w:val="20"/>
                <w:szCs w:val="20"/>
              </w:rPr>
              <w:t>eRedCap</w:t>
            </w:r>
            <w:proofErr w:type="spellEnd"/>
            <w:r>
              <w:rPr>
                <w:rFonts w:ascii="Times New Roman" w:eastAsia="Calibri" w:hAnsi="Times New Roman" w:cs="Times New Roman"/>
                <w:sz w:val="20"/>
                <w:szCs w:val="20"/>
              </w:rPr>
              <w:t xml:space="preserve"> UE.</w:t>
            </w:r>
          </w:p>
        </w:tc>
      </w:tr>
    </w:tbl>
    <w:p w:rsidR="001D2FCC" w:rsidRDefault="004436F9">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analysis on</w:t>
      </w:r>
      <w:r>
        <w:rPr>
          <w:rFonts w:ascii="Times New Roman" w:eastAsia="宋体" w:hAnsi="Times New Roman" w:cs="Times New Roman" w:hint="eastAsia"/>
          <w:sz w:val="20"/>
          <w:szCs w:val="20"/>
        </w:rPr>
        <w:t xml:space="preserve"> HD-FDD collision cases 3 and 4</w:t>
      </w:r>
      <w:r>
        <w:rPr>
          <w:rFonts w:ascii="Times New Roman" w:eastAsia="宋体" w:hAnsi="Times New Roman" w:cs="Times New Roman"/>
          <w:sz w:val="20"/>
          <w:szCs w:val="20"/>
        </w:rPr>
        <w:t xml:space="preserve"> for (e)</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HD-FDD UEs in NR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NTN are </w:t>
      </w:r>
      <w:r>
        <w:rPr>
          <w:rFonts w:ascii="Times New Roman" w:eastAsia="宋体" w:hAnsi="Times New Roman" w:cs="Times New Roman" w:hint="eastAsia"/>
          <w:sz w:val="20"/>
          <w:szCs w:val="20"/>
        </w:rPr>
        <w:t>provided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1D2FCC" w:rsidRDefault="004436F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HD-FDD collision cases 3 and 4</w:t>
      </w:r>
    </w:p>
    <w:p w:rsidR="001D2FCC" w:rsidRDefault="004436F9">
      <w:pPr>
        <w:jc w:val="both"/>
        <w:rPr>
          <w:rFonts w:ascii="Times New Roman" w:hAnsi="Times New Roman" w:cs="Times New Roman"/>
          <w:sz w:val="20"/>
          <w:szCs w:val="20"/>
        </w:rPr>
      </w:pPr>
      <w:r>
        <w:rPr>
          <w:rFonts w:ascii="Times New Roman" w:hAnsi="Times New Roman" w:cs="Times New Roman" w:hint="eastAsia"/>
          <w:sz w:val="20"/>
          <w:szCs w:val="20"/>
        </w:rPr>
        <w:t xml:space="preserve">For HD collision cases 3 and 4, </w:t>
      </w:r>
      <w:r>
        <w:rPr>
          <w:rFonts w:ascii="Times New Roman" w:hAnsi="Times New Roman" w:cs="Times New Roman"/>
          <w:sz w:val="20"/>
          <w:szCs w:val="20"/>
        </w:rPr>
        <w:t xml:space="preserve">it was observed </w:t>
      </w:r>
      <w:r>
        <w:rPr>
          <w:rFonts w:ascii="Times New Roman" w:hAnsi="Times New Roman" w:cs="Times New Roman" w:hint="eastAsia"/>
          <w:sz w:val="20"/>
          <w:szCs w:val="20"/>
        </w:rPr>
        <w:t xml:space="preserve">in RAN1#116bis meeting </w:t>
      </w:r>
      <w:r>
        <w:rPr>
          <w:rFonts w:ascii="Times New Roman" w:hAnsi="Times New Roman" w:cs="Times New Roman"/>
          <w:sz w:val="20"/>
          <w:szCs w:val="20"/>
        </w:rPr>
        <w:t xml:space="preserve">that occurrence of cases 3 and 4 can be avoided by network scheduling, but at cost of less resources available for the scheduled UE in NTN than TN </w:t>
      </w:r>
      <w:r>
        <w:rPr>
          <w:rFonts w:ascii="Times New Roman" w:hAnsi="Times New Roman" w:cs="Times New Roman" w:hint="eastAsia"/>
          <w:sz w:val="20"/>
          <w:szCs w:val="20"/>
        </w:rPr>
        <w:t>a</w:t>
      </w:r>
      <w:r>
        <w:rPr>
          <w:rFonts w:ascii="Times New Roman" w:hAnsi="Times New Roman" w:cs="Times New Roman"/>
          <w:sz w:val="20"/>
          <w:szCs w:val="20"/>
        </w:rPr>
        <w:t xml:space="preserve">s shown </w:t>
      </w:r>
      <w:r>
        <w:rPr>
          <w:rFonts w:ascii="Times New Roman" w:hAnsi="Times New Roman" w:cs="Times New Roman"/>
          <w:sz w:val="20"/>
          <w:szCs w:val="20"/>
        </w:rPr>
        <w:lastRenderedPageBreak/>
        <w:t xml:space="preserve">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 xml:space="preserve">Figure </w:t>
      </w:r>
      <w:r>
        <w:rPr>
          <w:rFonts w:ascii="Times New Roman" w:hAnsi="Times New Roman" w:cs="Times New Roman"/>
          <w:sz w:val="20"/>
          <w:szCs w:val="20"/>
        </w:rPr>
        <w:fldChar w:fldCharType="end"/>
      </w:r>
      <w:r>
        <w:rPr>
          <w:rFonts w:ascii="Times New Roman" w:hAnsi="Times New Roman" w:cs="Times New Roman" w:hint="eastAsia"/>
          <w:sz w:val="20"/>
          <w:szCs w:val="20"/>
        </w:rPr>
        <w:t>1</w:t>
      </w:r>
      <w:r>
        <w:rPr>
          <w:rFonts w:ascii="Times New Roman" w:hAnsi="Times New Roman" w:cs="Times New Roman"/>
          <w:sz w:val="20"/>
          <w:szCs w:val="20"/>
        </w:rPr>
        <w:t xml:space="preserve">. </w:t>
      </w:r>
      <w:r>
        <w:rPr>
          <w:rFonts w:ascii="Times New Roman" w:hAnsi="Times New Roman" w:cs="Times New Roman" w:hint="eastAsia"/>
          <w:sz w:val="20"/>
          <w:szCs w:val="20"/>
        </w:rPr>
        <w:t>According to the analysis and calculation in [3], t</w:t>
      </w:r>
      <w:r>
        <w:rPr>
          <w:rFonts w:ascii="Times New Roman" w:hAnsi="Times New Roman" w:cs="Times New Roman"/>
          <w:sz w:val="20"/>
          <w:szCs w:val="20"/>
        </w:rPr>
        <w:t xml:space="preserve">he ratio of unavailable resource for the scheduled UE due to avoiding cases 3 and 4 is limited, especially considering that repetition transmission can be performed in NTN to handle the </w:t>
      </w:r>
      <w:r>
        <w:rPr>
          <w:rFonts w:ascii="Times New Roman" w:hAnsi="Times New Roman" w:cs="Times New Roman"/>
          <w:sz w:val="20"/>
          <w:szCs w:val="20"/>
        </w:rPr>
        <w:t>large path loss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p>
    <w:p w:rsidR="001D2FCC" w:rsidRDefault="004436F9">
      <w:pPr>
        <w:jc w:val="center"/>
      </w:pPr>
      <w:r>
        <w:rPr>
          <w:noProof/>
        </w:rPr>
        <w:drawing>
          <wp:inline distT="0" distB="0" distL="0" distR="0">
            <wp:extent cx="4191635" cy="1835785"/>
            <wp:effectExtent l="0" t="0" r="1841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91635" cy="1835785"/>
                    </a:xfrm>
                    <a:prstGeom prst="rect">
                      <a:avLst/>
                    </a:prstGeom>
                  </pic:spPr>
                </pic:pic>
              </a:graphicData>
            </a:graphic>
          </wp:inline>
        </w:drawing>
      </w:r>
    </w:p>
    <w:p w:rsidR="001D2FCC" w:rsidRDefault="004436F9">
      <w:pPr>
        <w:pStyle w:val="a3"/>
        <w:rPr>
          <w:b w:val="0"/>
        </w:rPr>
      </w:pPr>
      <w:bookmarkStart w:id="3" w:name="_Ref158021703"/>
      <w:r>
        <w:rPr>
          <w:b w:val="0"/>
        </w:rPr>
        <w:t xml:space="preserve">Figure </w:t>
      </w:r>
      <w:bookmarkEnd w:id="3"/>
      <w:r>
        <w:rPr>
          <w:rFonts w:hint="eastAsia"/>
          <w:b w:val="0"/>
          <w:lang w:val="en-US"/>
        </w:rPr>
        <w:t>1</w:t>
      </w:r>
      <w:r>
        <w:rPr>
          <w:b w:val="0"/>
        </w:rPr>
        <w:t xml:space="preserve"> Avoid UL-DL collision based on TA</w:t>
      </w:r>
    </w:p>
    <w:p w:rsidR="001D2FCC" w:rsidRDefault="004436F9">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At least for solving collision case 4 (d</w:t>
      </w:r>
      <w:r>
        <w:rPr>
          <w:rFonts w:ascii="Times New Roman" w:hAnsi="Times New Roman" w:cs="Times New Roman"/>
          <w:sz w:val="20"/>
          <w:szCs w:val="20"/>
        </w:rPr>
        <w:t>ynamically scheduled DL reception collides with dynamic scheduled UL transmission</w:t>
      </w:r>
      <w:r>
        <w:rPr>
          <w:rFonts w:ascii="Times New Roman" w:hAnsi="Times New Roman" w:cs="Times New Roman" w:hint="eastAsia"/>
          <w:sz w:val="20"/>
          <w:szCs w:val="20"/>
        </w:rPr>
        <w:t>)</w:t>
      </w:r>
      <w:r>
        <w:rPr>
          <w:rFonts w:ascii="Times New Roman" w:hAnsi="Times New Roman" w:cs="Times New Roman"/>
          <w:sz w:val="20"/>
          <w:szCs w:val="20"/>
        </w:rPr>
        <w:t xml:space="preserve">, if TA report is further enhanced, e.g., by introducing finer TA report granularity and smaller triggering offset threshold, the ratio of unavailable resource can be further reduced. </w:t>
      </w:r>
    </w:p>
    <w:p w:rsidR="001D2FCC" w:rsidRDefault="004436F9">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The legacy TA report granularity for NR NTN is </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SCS</w:t>
      </w:r>
      <w:r>
        <w:rPr>
          <w:rFonts w:ascii="Times New Roman" w:hAnsi="Times New Roman" w:cs="Times New Roman" w:hint="eastAsia"/>
          <w:sz w:val="20"/>
          <w:szCs w:val="20"/>
        </w:rPr>
        <w:t>. Finer TA report granularity can be one symbol with 15 kHz SCS or one slot with 30 kHz SCS, etc. If finer TA report granularity is introduced, the determination of TA report granularity can include the following methods:</w:t>
      </w:r>
    </w:p>
    <w:p w:rsidR="001D2FCC" w:rsidRDefault="004436F9">
      <w:pPr>
        <w:numPr>
          <w:ilvl w:val="0"/>
          <w:numId w:val="6"/>
        </w:numPr>
        <w:spacing w:before="120" w:after="120" w:line="240" w:lineRule="auto"/>
        <w:jc w:val="both"/>
        <w:rPr>
          <w:rFonts w:ascii="Times New Roman" w:hAnsi="Times New Roman" w:cs="Times New Roman"/>
          <w:sz w:val="20"/>
          <w:szCs w:val="20"/>
        </w:rPr>
      </w:pPr>
      <w:proofErr w:type="spellStart"/>
      <w:r>
        <w:rPr>
          <w:rFonts w:ascii="Times New Roman" w:hAnsi="Times New Roman" w:cs="Times New Roman" w:hint="eastAsia"/>
          <w:sz w:val="20"/>
          <w:szCs w:val="20"/>
        </w:rPr>
        <w:t>Opt</w:t>
      </w:r>
      <w:proofErr w:type="spellEnd"/>
      <w:r>
        <w:rPr>
          <w:rFonts w:ascii="Times New Roman" w:hAnsi="Times New Roman" w:cs="Times New Roman" w:hint="eastAsia"/>
          <w:sz w:val="20"/>
          <w:szCs w:val="20"/>
        </w:rPr>
        <w:t xml:space="preserve"> 1: The gNB indicates whether T</w:t>
      </w:r>
      <w:r>
        <w:rPr>
          <w:rFonts w:ascii="Times New Roman" w:hAnsi="Times New Roman" w:cs="Times New Roman" w:hint="eastAsia"/>
          <w:sz w:val="20"/>
          <w:szCs w:val="20"/>
        </w:rPr>
        <w:t>A report granularity is the legacy granularity or the new finer granularity;</w:t>
      </w:r>
    </w:p>
    <w:p w:rsidR="001D2FCC" w:rsidRDefault="004436F9">
      <w:pPr>
        <w:numPr>
          <w:ilvl w:val="0"/>
          <w:numId w:val="6"/>
        </w:numPr>
        <w:spacing w:before="120" w:after="120" w:line="240" w:lineRule="auto"/>
        <w:jc w:val="both"/>
        <w:rPr>
          <w:rFonts w:ascii="Times New Roman" w:hAnsi="Times New Roman" w:cs="Times New Roman"/>
          <w:sz w:val="20"/>
          <w:szCs w:val="20"/>
        </w:rPr>
      </w:pPr>
      <w:proofErr w:type="spellStart"/>
      <w:r>
        <w:rPr>
          <w:rFonts w:ascii="Times New Roman" w:hAnsi="Times New Roman" w:cs="Times New Roman" w:hint="eastAsia"/>
          <w:sz w:val="20"/>
          <w:szCs w:val="20"/>
        </w:rPr>
        <w:t>Opt</w:t>
      </w:r>
      <w:proofErr w:type="spellEnd"/>
      <w:r>
        <w:rPr>
          <w:rFonts w:ascii="Times New Roman" w:hAnsi="Times New Roman" w:cs="Times New Roman" w:hint="eastAsia"/>
          <w:sz w:val="20"/>
          <w:szCs w:val="20"/>
        </w:rPr>
        <w:t xml:space="preserve"> 2: The gNB and/or the UE determines TA report granularity according to predefined rules, such as using the same method as TA report granularity determination for ATG in FR1;</w:t>
      </w:r>
    </w:p>
    <w:p w:rsidR="001D2FCC" w:rsidRDefault="004436F9">
      <w:pPr>
        <w:numPr>
          <w:ilvl w:val="0"/>
          <w:numId w:val="6"/>
        </w:numPr>
        <w:spacing w:before="120" w:after="120" w:line="240" w:lineRule="auto"/>
        <w:jc w:val="both"/>
        <w:rPr>
          <w:rFonts w:ascii="Times New Roman" w:hAnsi="Times New Roman" w:cs="Times New Roman"/>
          <w:sz w:val="20"/>
          <w:szCs w:val="20"/>
        </w:rPr>
      </w:pPr>
      <w:proofErr w:type="spellStart"/>
      <w:r>
        <w:rPr>
          <w:rFonts w:ascii="Times New Roman" w:hAnsi="Times New Roman" w:cs="Times New Roman" w:hint="eastAsia"/>
          <w:sz w:val="20"/>
          <w:szCs w:val="20"/>
        </w:rPr>
        <w:t>O</w:t>
      </w:r>
      <w:r>
        <w:rPr>
          <w:rFonts w:ascii="Times New Roman" w:hAnsi="Times New Roman" w:cs="Times New Roman" w:hint="eastAsia"/>
          <w:sz w:val="20"/>
          <w:szCs w:val="20"/>
        </w:rPr>
        <w:t>pt</w:t>
      </w:r>
      <w:proofErr w:type="spellEnd"/>
      <w:r>
        <w:rPr>
          <w:rFonts w:ascii="Times New Roman" w:hAnsi="Times New Roman" w:cs="Times New Roman" w:hint="eastAsia"/>
          <w:sz w:val="20"/>
          <w:szCs w:val="20"/>
        </w:rPr>
        <w:t xml:space="preserve"> 3: The UE determines TA report granularity relying on UE</w:t>
      </w:r>
      <w:r>
        <w:rPr>
          <w:rFonts w:ascii="Times New Roman" w:hAnsi="Times New Roman" w:cs="Times New Roman"/>
          <w:sz w:val="20"/>
          <w:szCs w:val="20"/>
        </w:rPr>
        <w:t>’</w:t>
      </w:r>
      <w:r>
        <w:rPr>
          <w:rFonts w:ascii="Times New Roman" w:hAnsi="Times New Roman" w:cs="Times New Roman" w:hint="eastAsia"/>
          <w:sz w:val="20"/>
          <w:szCs w:val="20"/>
        </w:rPr>
        <w:t>s implementation and indicates TA report granularity to the gNB via MAC CE.</w:t>
      </w:r>
    </w:p>
    <w:p w:rsidR="001D2FCC" w:rsidRDefault="004436F9">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New candidate triggering offset threshold can be less than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e.g.</w:t>
      </w:r>
      <w:r>
        <w:rPr>
          <w:rFonts w:ascii="Times New Roman" w:hAnsi="Times New Roman" w:cs="Times New Roman"/>
          <w:sz w:val="20"/>
          <w:szCs w:val="20"/>
        </w:rPr>
        <w:t>,</w:t>
      </w:r>
      <w:r>
        <w:rPr>
          <w:rFonts w:ascii="Times New Roman" w:hAnsi="Times New Roman" w:cs="Times New Roman" w:hint="eastAsia"/>
          <w:sz w:val="20"/>
          <w:szCs w:val="20"/>
        </w:rPr>
        <w:t xml:space="preserve"> equal to 0.25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0.1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or expressed by symbo</w:t>
      </w:r>
      <w:r>
        <w:rPr>
          <w:rFonts w:ascii="Times New Roman" w:hAnsi="Times New Roman" w:cs="Times New Roman" w:hint="eastAsia"/>
          <w:sz w:val="20"/>
          <w:szCs w:val="20"/>
        </w:rPr>
        <w:t>ls. Introducing smaller triggering offset threshold will promote more frequent TA report. That can reduce the impacts on resources available for a scheduled UE when avoiding the occurrence of case 4 through network scheduling though it may increase signali</w:t>
      </w:r>
      <w:r>
        <w:rPr>
          <w:rFonts w:ascii="Times New Roman" w:hAnsi="Times New Roman" w:cs="Times New Roman" w:hint="eastAsia"/>
          <w:sz w:val="20"/>
          <w:szCs w:val="20"/>
        </w:rPr>
        <w:t>ng overhead. By introducing smaller offset threshold values, the gNB can strike a balance between resource utilization, collision avoidance and signaling overhead.</w:t>
      </w:r>
    </w:p>
    <w:p w:rsidR="001D2FCC" w:rsidRDefault="004436F9">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both finer TA report granularity and smaller offset threshold are introduced, in addition</w:t>
      </w:r>
      <w:r>
        <w:rPr>
          <w:rFonts w:ascii="Times New Roman" w:hAnsi="Times New Roman" w:cs="Times New Roman" w:hint="eastAsia"/>
          <w:sz w:val="20"/>
          <w:szCs w:val="20"/>
        </w:rPr>
        <w:t xml:space="preserve"> to the above three options, the gNB</w:t>
      </w:r>
      <w:r>
        <w:rPr>
          <w:rFonts w:ascii="Times New Roman" w:hAnsi="Times New Roman" w:cs="Times New Roman"/>
          <w:sz w:val="20"/>
          <w:szCs w:val="20"/>
        </w:rPr>
        <w:t xml:space="preserve"> can implicitly indicate </w:t>
      </w:r>
      <w:r>
        <w:rPr>
          <w:rFonts w:ascii="Times New Roman" w:hAnsi="Times New Roman" w:cs="Times New Roman" w:hint="eastAsia"/>
          <w:sz w:val="20"/>
          <w:szCs w:val="20"/>
        </w:rPr>
        <w:t>TA report</w:t>
      </w:r>
      <w:r>
        <w:rPr>
          <w:rFonts w:ascii="Times New Roman" w:hAnsi="Times New Roman" w:cs="Times New Roman"/>
          <w:sz w:val="20"/>
          <w:szCs w:val="20"/>
        </w:rPr>
        <w:t xml:space="preserve"> granularity by configuring </w:t>
      </w:r>
      <w:r>
        <w:rPr>
          <w:rFonts w:ascii="Times New Roman" w:hAnsi="Times New Roman" w:cs="Times New Roman" w:hint="eastAsia"/>
          <w:sz w:val="20"/>
          <w:szCs w:val="20"/>
        </w:rPr>
        <w:t xml:space="preserve">an offset </w:t>
      </w:r>
      <w:r>
        <w:rPr>
          <w:rFonts w:ascii="Times New Roman" w:hAnsi="Times New Roman" w:cs="Times New Roman"/>
          <w:sz w:val="20"/>
          <w:szCs w:val="20"/>
        </w:rPr>
        <w:t xml:space="preserve">threshold. For example,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w:t>
      </w:r>
      <w:r>
        <w:rPr>
          <w:rFonts w:ascii="Times New Roman" w:hAnsi="Times New Roman" w:cs="Times New Roman" w:hint="eastAsia"/>
          <w:sz w:val="20"/>
          <w:szCs w:val="20"/>
        </w:rPr>
        <w:t xml:space="preserve">legacy </w:t>
      </w:r>
      <w:r>
        <w:rPr>
          <w:rFonts w:ascii="Times New Roman" w:hAnsi="Times New Roman" w:cs="Times New Roman"/>
          <w:sz w:val="20"/>
          <w:szCs w:val="20"/>
        </w:rPr>
        <w:t xml:space="preserve">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the legacy granularity</w:t>
      </w:r>
      <w:r>
        <w:rPr>
          <w:rFonts w:ascii="Times New Roman" w:hAnsi="Times New Roman" w:cs="Times New Roman"/>
          <w:sz w:val="20"/>
          <w:szCs w:val="20"/>
        </w:rPr>
        <w:t xml:space="preserv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newly introduced 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 xml:space="preserve">the new </w:t>
      </w:r>
      <w:r>
        <w:rPr>
          <w:rFonts w:ascii="Times New Roman" w:hAnsi="Times New Roman" w:cs="Times New Roman"/>
          <w:sz w:val="20"/>
          <w:szCs w:val="20"/>
        </w:rPr>
        <w:t>finer granularity.</w:t>
      </w:r>
    </w:p>
    <w:p w:rsidR="001D2FCC" w:rsidRDefault="004436F9">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above </w:t>
      </w:r>
      <w:r>
        <w:rPr>
          <w:rFonts w:ascii="Times New Roman" w:hAnsi="Times New Roman" w:cs="Times New Roman"/>
          <w:sz w:val="20"/>
          <w:szCs w:val="20"/>
        </w:rPr>
        <w:t xml:space="preserve">enhancement of TA report </w:t>
      </w:r>
      <w:r>
        <w:rPr>
          <w:rFonts w:ascii="Times New Roman" w:hAnsi="Times New Roman" w:cs="Times New Roman" w:hint="eastAsia"/>
          <w:sz w:val="20"/>
          <w:szCs w:val="20"/>
        </w:rPr>
        <w:t>can</w:t>
      </w:r>
      <w:r>
        <w:rPr>
          <w:rFonts w:ascii="Times New Roman" w:hAnsi="Times New Roman" w:cs="Times New Roman"/>
          <w:sz w:val="20"/>
          <w:szCs w:val="20"/>
        </w:rPr>
        <w:t xml:space="preserve"> also be used as a general approach to alleviate the impacts due to the </w:t>
      </w:r>
      <w:r>
        <w:rPr>
          <w:rFonts w:ascii="Times New Roman" w:hAnsi="Times New Roman" w:cs="Times New Roman" w:hint="eastAsia"/>
          <w:sz w:val="20"/>
          <w:szCs w:val="20"/>
        </w:rPr>
        <w:t>other HD collision cases to some extent, includi</w:t>
      </w:r>
      <w:r>
        <w:rPr>
          <w:rFonts w:ascii="Times New Roman" w:hAnsi="Times New Roman" w:cs="Times New Roman" w:hint="eastAsia"/>
          <w:sz w:val="20"/>
          <w:szCs w:val="20"/>
        </w:rPr>
        <w:t>ng cases 1, 2, 3, 5 and 6</w:t>
      </w:r>
      <w:r>
        <w:rPr>
          <w:rFonts w:ascii="Times New Roman" w:hAnsi="Times New Roman" w:cs="Times New Roman"/>
          <w:sz w:val="20"/>
          <w:szCs w:val="20"/>
        </w:rPr>
        <w:t>.</w:t>
      </w:r>
    </w:p>
    <w:p w:rsidR="001D2FCC" w:rsidRDefault="004436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bCs/>
          <w:i/>
          <w:iCs/>
          <w:sz w:val="20"/>
          <w:szCs w:val="20"/>
        </w:rPr>
        <w:t xml:space="preserve">At least for case 4,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w:t>
      </w:r>
      <w:r>
        <w:rPr>
          <w:rFonts w:ascii="Times New Roman" w:hAnsi="Times New Roman" w:cs="Times New Roman"/>
          <w:bCs/>
          <w:i/>
          <w:iCs/>
          <w:sz w:val="20"/>
          <w:szCs w:val="20"/>
        </w:rPr>
        <w:t>atch.</w:t>
      </w:r>
    </w:p>
    <w:p w:rsidR="001D2FCC" w:rsidRDefault="004436F9">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the </w:t>
      </w:r>
      <w:r>
        <w:rPr>
          <w:rFonts w:ascii="Times New Roman" w:hAnsi="Times New Roman" w:cs="Times New Roman"/>
          <w:bCs/>
          <w:i/>
          <w:iCs/>
          <w:sz w:val="20"/>
          <w:szCs w:val="20"/>
        </w:rPr>
        <w:t>TA report can be enhanced by introducing finer granularity and triggering offset threshold to further reduce the ratio of unavailable resource due to avoiding collision cases.</w:t>
      </w:r>
    </w:p>
    <w:p w:rsidR="001D2FCC" w:rsidRDefault="004436F9">
      <w:pPr>
        <w:jc w:val="both"/>
        <w:rPr>
          <w:rFonts w:ascii="Times New Roman" w:hAnsi="Times New Roman" w:cs="Times New Roman"/>
          <w:bCs/>
          <w:sz w:val="20"/>
          <w:szCs w:val="20"/>
        </w:rPr>
      </w:pPr>
      <w:r>
        <w:rPr>
          <w:rFonts w:ascii="Times New Roman" w:hAnsi="Times New Roman" w:cs="Times New Roman" w:hint="eastAsia"/>
          <w:bCs/>
          <w:sz w:val="20"/>
          <w:szCs w:val="20"/>
        </w:rPr>
        <w:t>Due to the impracticality of freque</w:t>
      </w:r>
      <w:r>
        <w:rPr>
          <w:rFonts w:ascii="Times New Roman" w:hAnsi="Times New Roman" w:cs="Times New Roman" w:hint="eastAsia"/>
          <w:bCs/>
          <w:sz w:val="20"/>
          <w:szCs w:val="20"/>
        </w:rPr>
        <w:t>nt reconfiguration for semi-statically configured transmission/reception, the benefits brought by TA report enhanceme</w:t>
      </w:r>
      <w:r>
        <w:rPr>
          <w:rFonts w:ascii="Times New Roman" w:hAnsi="Times New Roman" w:cs="Times New Roman"/>
          <w:sz w:val="20"/>
          <w:szCs w:val="20"/>
        </w:rPr>
        <w:t>nt for solving case 3 (semi-statically configured DL reception collides with semi-statically configured UL transmission) may not b</w:t>
      </w:r>
      <w:r>
        <w:rPr>
          <w:rFonts w:ascii="Times New Roman" w:hAnsi="Times New Roman" w:cs="Times New Roman" w:hint="eastAsia"/>
          <w:bCs/>
          <w:sz w:val="20"/>
          <w:szCs w:val="20"/>
        </w:rPr>
        <w:t>e as sign</w:t>
      </w:r>
      <w:r>
        <w:rPr>
          <w:rFonts w:ascii="Times New Roman" w:hAnsi="Times New Roman" w:cs="Times New Roman" w:hint="eastAsia"/>
          <w:bCs/>
          <w:sz w:val="20"/>
          <w:szCs w:val="20"/>
        </w:rPr>
        <w:t xml:space="preserve">ificant as for solving case 4. Therefore, additional enhancements for solving case 3 </w:t>
      </w:r>
      <w:r>
        <w:rPr>
          <w:rFonts w:ascii="Times New Roman" w:hAnsi="Times New Roman" w:cs="Times New Roman"/>
          <w:bCs/>
          <w:sz w:val="20"/>
          <w:szCs w:val="20"/>
        </w:rPr>
        <w:t>can also be considered</w:t>
      </w:r>
      <w:r>
        <w:rPr>
          <w:rFonts w:ascii="Times New Roman" w:hAnsi="Times New Roman" w:cs="Times New Roman" w:hint="eastAsia"/>
          <w:bCs/>
          <w:sz w:val="20"/>
          <w:szCs w:val="20"/>
        </w:rPr>
        <w:t>.</w:t>
      </w:r>
    </w:p>
    <w:p w:rsidR="001D2FCC" w:rsidRDefault="004436F9">
      <w:pPr>
        <w:jc w:val="both"/>
        <w:rPr>
          <w:rFonts w:ascii="Times New Roman" w:hAnsi="Times New Roman" w:cs="Times New Roman"/>
          <w:bCs/>
          <w:sz w:val="20"/>
          <w:szCs w:val="20"/>
        </w:rPr>
      </w:pPr>
      <w:r>
        <w:rPr>
          <w:rFonts w:ascii="Times New Roman" w:hAnsi="Times New Roman" w:cs="Times New Roman"/>
          <w:bCs/>
          <w:sz w:val="20"/>
          <w:szCs w:val="20"/>
        </w:rPr>
        <w:lastRenderedPageBreak/>
        <w:t>F</w:t>
      </w:r>
      <w:r>
        <w:rPr>
          <w:rFonts w:ascii="Times New Roman" w:hAnsi="Times New Roman" w:cs="Times New Roman" w:hint="eastAsia"/>
          <w:bCs/>
          <w:sz w:val="20"/>
          <w:szCs w:val="20"/>
        </w:rPr>
        <w:t>or</w:t>
      </w:r>
      <w:r>
        <w:rPr>
          <w:rFonts w:ascii="Times New Roman" w:hAnsi="Times New Roman" w:cs="Times New Roman"/>
          <w:bCs/>
          <w:sz w:val="20"/>
          <w:szCs w:val="20"/>
        </w:rPr>
        <w:t xml:space="preserve"> example, some </w:t>
      </w:r>
      <w:r>
        <w:rPr>
          <w:rFonts w:ascii="Times New Roman" w:hAnsi="Times New Roman" w:cs="Times New Roman" w:hint="eastAsia"/>
          <w:bCs/>
          <w:sz w:val="20"/>
          <w:szCs w:val="20"/>
        </w:rPr>
        <w:t>priority rule</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of semi-statically configured DL reception vs. UL transmission </w:t>
      </w:r>
      <w:r>
        <w:rPr>
          <w:rFonts w:ascii="Times New Roman" w:hAnsi="Times New Roman" w:cs="Times New Roman"/>
          <w:bCs/>
          <w:sz w:val="20"/>
          <w:szCs w:val="20"/>
        </w:rPr>
        <w:t xml:space="preserve">can be defined </w:t>
      </w:r>
      <w:r>
        <w:rPr>
          <w:rFonts w:ascii="Times New Roman" w:hAnsi="Times New Roman" w:cs="Times New Roman" w:hint="eastAsia"/>
          <w:bCs/>
          <w:sz w:val="20"/>
          <w:szCs w:val="20"/>
        </w:rPr>
        <w:t xml:space="preserve">case by case. It should be note that </w:t>
      </w:r>
      <w:r>
        <w:rPr>
          <w:rFonts w:ascii="Times New Roman" w:hAnsi="Times New Roman" w:cs="Times New Roman" w:hint="eastAsia"/>
          <w:bCs/>
          <w:sz w:val="20"/>
          <w:szCs w:val="20"/>
        </w:rPr>
        <w:t>semi-statically configured DL reception and UL transmission defined in case 3 do not include SSB/PRACH. Collisions with SSB reception and PRACH transmission belong to cases 5 and 6. They can be solved based on existing mechanisms and have been determined n</w:t>
      </w:r>
      <w:r>
        <w:rPr>
          <w:rFonts w:ascii="Times New Roman" w:hAnsi="Times New Roman" w:cs="Times New Roman" w:hint="eastAsia"/>
          <w:bCs/>
          <w:sz w:val="20"/>
          <w:szCs w:val="20"/>
        </w:rPr>
        <w:t>ot to be enhanced in the updated WID.</w:t>
      </w:r>
    </w:p>
    <w:p w:rsidR="001D2FCC" w:rsidRDefault="004436F9">
      <w:pPr>
        <w:numPr>
          <w:ilvl w:val="0"/>
          <w:numId w:val="7"/>
        </w:numPr>
        <w:jc w:val="both"/>
        <w:rPr>
          <w:rFonts w:ascii="Times New Roman" w:hAnsi="Times New Roman" w:cs="Times New Roman"/>
          <w:bCs/>
          <w:sz w:val="20"/>
          <w:szCs w:val="20"/>
        </w:rPr>
      </w:pPr>
      <w:r>
        <w:rPr>
          <w:rFonts w:ascii="Times New Roman" w:hAnsi="Times New Roman" w:cs="Times New Roman" w:hint="eastAsia"/>
          <w:bCs/>
          <w:sz w:val="20"/>
          <w:szCs w:val="20"/>
        </w:rPr>
        <w:t>The priority of PDCCH reception configured by a</w:t>
      </w:r>
      <w:r>
        <w:rPr>
          <w:rFonts w:ascii="Times New Roman" w:hAnsi="Times New Roman" w:cs="Times New Roman"/>
          <w:bCs/>
          <w:sz w:val="20"/>
          <w:szCs w:val="20"/>
        </w:rPr>
        <w:t xml:space="preserve"> CSS set configuration (e.g., Type-0/0A/0B/1/2-PDCCH) is higher than </w:t>
      </w:r>
      <w:r>
        <w:rPr>
          <w:rFonts w:ascii="Times New Roman" w:hAnsi="Times New Roman" w:cs="Times New Roman" w:hint="eastAsia"/>
          <w:bCs/>
          <w:sz w:val="20"/>
          <w:szCs w:val="20"/>
        </w:rPr>
        <w:t xml:space="preserve">all </w:t>
      </w:r>
      <w:r>
        <w:rPr>
          <w:rFonts w:ascii="Times New Roman" w:hAnsi="Times New Roman" w:cs="Times New Roman"/>
          <w:bCs/>
          <w:sz w:val="20"/>
          <w:szCs w:val="20"/>
        </w:rPr>
        <w:t>semi-statically configured UL transmission</w:t>
      </w:r>
      <w:r>
        <w:rPr>
          <w:rFonts w:ascii="Times New Roman" w:hAnsi="Times New Roman" w:cs="Times New Roman" w:hint="eastAsia"/>
          <w:bCs/>
          <w:sz w:val="20"/>
          <w:szCs w:val="20"/>
        </w:rPr>
        <w:t>s</w:t>
      </w:r>
      <w:r>
        <w:rPr>
          <w:rFonts w:ascii="Times New Roman" w:hAnsi="Times New Roman" w:cs="Times New Roman"/>
          <w:bCs/>
          <w:sz w:val="20"/>
          <w:szCs w:val="20"/>
        </w:rPr>
        <w:t xml:space="preserve"> in a same time resource. The reason is that such PDCCH</w:t>
      </w:r>
      <w:r>
        <w:rPr>
          <w:rFonts w:ascii="Times New Roman" w:hAnsi="Times New Roman" w:cs="Times New Roman"/>
          <w:bCs/>
          <w:sz w:val="20"/>
          <w:szCs w:val="20"/>
        </w:rPr>
        <w:t xml:space="preserve"> reception is generally related to the scheduling of system information and paging, so it is necessary to prioritize the reception of this type of DL channels.</w:t>
      </w:r>
    </w:p>
    <w:p w:rsidR="001D2FCC" w:rsidRDefault="004436F9">
      <w:pPr>
        <w:numPr>
          <w:ilvl w:val="0"/>
          <w:numId w:val="7"/>
        </w:numPr>
        <w:jc w:val="both"/>
        <w:rPr>
          <w:rFonts w:ascii="Times New Roman" w:hAnsi="Times New Roman" w:cs="Times New Roman"/>
          <w:bCs/>
          <w:sz w:val="20"/>
          <w:szCs w:val="20"/>
        </w:rPr>
      </w:pPr>
      <w:r>
        <w:rPr>
          <w:rFonts w:ascii="Times New Roman" w:hAnsi="Times New Roman" w:cs="Times New Roman" w:hint="eastAsia"/>
          <w:bCs/>
          <w:sz w:val="20"/>
          <w:szCs w:val="20"/>
        </w:rPr>
        <w:t>For other semi-statically configured DL receptions and UL transmissions in case 3, the UE can also make</w:t>
      </w:r>
      <w:r>
        <w:rPr>
          <w:rFonts w:ascii="Times New Roman" w:hAnsi="Times New Roman" w:cs="Times New Roman" w:hint="eastAsia"/>
          <w:bCs/>
          <w:sz w:val="20"/>
          <w:szCs w:val="20"/>
        </w:rPr>
        <w:t xml:space="preserve"> decisions based on its implementation. However, considering that in most use cases of (e)</w:t>
      </w:r>
      <w:proofErr w:type="spellStart"/>
      <w:r>
        <w:rPr>
          <w:rFonts w:ascii="Times New Roman" w:hAnsi="Times New Roman" w:cs="Times New Roman" w:hint="eastAsia"/>
          <w:bCs/>
          <w:sz w:val="20"/>
          <w:szCs w:val="20"/>
        </w:rPr>
        <w:t>RedCap</w:t>
      </w:r>
      <w:proofErr w:type="spellEnd"/>
      <w:r>
        <w:rPr>
          <w:rFonts w:ascii="Times New Roman" w:hAnsi="Times New Roman" w:cs="Times New Roman" w:hint="eastAsia"/>
          <w:bCs/>
          <w:sz w:val="20"/>
          <w:szCs w:val="20"/>
        </w:rPr>
        <w:t xml:space="preserve"> UE, the importance of UL transmission may be greater than DL reception</w:t>
      </w:r>
      <w:r>
        <w:rPr>
          <w:rFonts w:ascii="Times New Roman" w:hAnsi="Times New Roman" w:cs="Times New Roman" w:hint="eastAsia"/>
          <w:bCs/>
          <w:sz w:val="20"/>
          <w:szCs w:val="20"/>
        </w:rPr>
        <w:t>, it is also acceptable for RAN1 to define that the priority of UL transmissio</w:t>
      </w:r>
      <w:r>
        <w:rPr>
          <w:rFonts w:ascii="Times New Roman" w:hAnsi="Times New Roman" w:cs="Times New Roman" w:hint="eastAsia"/>
          <w:bCs/>
          <w:sz w:val="20"/>
          <w:szCs w:val="20"/>
        </w:rPr>
        <w:t>n is greater than that of DL reception.</w:t>
      </w:r>
    </w:p>
    <w:p w:rsidR="001D2FCC" w:rsidRDefault="004436F9">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hint="eastAsia"/>
          <w:bCs/>
          <w:i/>
          <w:iCs/>
          <w:sz w:val="20"/>
          <w:szCs w:val="20"/>
        </w:rPr>
        <w:t xml:space="preserve">For case 3, RAN1 can </w:t>
      </w:r>
      <w:r>
        <w:rPr>
          <w:rFonts w:ascii="Times New Roman" w:hAnsi="Times New Roman" w:cs="Times New Roman"/>
          <w:bCs/>
          <w:i/>
          <w:iCs/>
          <w:sz w:val="20"/>
          <w:szCs w:val="20"/>
        </w:rPr>
        <w:t xml:space="preserve">additionally </w:t>
      </w:r>
      <w:r>
        <w:rPr>
          <w:rFonts w:ascii="Times New Roman" w:hAnsi="Times New Roman" w:cs="Times New Roman" w:hint="eastAsia"/>
          <w:bCs/>
          <w:i/>
          <w:iCs/>
          <w:sz w:val="20"/>
          <w:szCs w:val="20"/>
        </w:rPr>
        <w:t>de</w:t>
      </w:r>
      <w:r>
        <w:rPr>
          <w:rFonts w:ascii="Times New Roman" w:hAnsi="Times New Roman" w:cs="Times New Roman"/>
          <w:bCs/>
          <w:i/>
          <w:iCs/>
          <w:sz w:val="20"/>
          <w:szCs w:val="20"/>
        </w:rPr>
        <w:t xml:space="preserve">fine following </w:t>
      </w:r>
      <w:r>
        <w:rPr>
          <w:rFonts w:ascii="Times New Roman" w:hAnsi="Times New Roman" w:cs="Times New Roman" w:hint="eastAsia"/>
          <w:bCs/>
          <w:i/>
          <w:iCs/>
          <w:sz w:val="20"/>
          <w:szCs w:val="20"/>
        </w:rPr>
        <w:t xml:space="preserve">rules </w:t>
      </w:r>
      <w:r>
        <w:rPr>
          <w:rFonts w:ascii="Times New Roman" w:hAnsi="Times New Roman" w:cs="Times New Roman"/>
          <w:bCs/>
          <w:i/>
          <w:iCs/>
          <w:sz w:val="20"/>
          <w:szCs w:val="20"/>
        </w:rPr>
        <w:t>to address the collision between semi-statically configured DL reception vs. UL transmission case by case:</w:t>
      </w:r>
    </w:p>
    <w:p w:rsidR="001D2FCC" w:rsidRDefault="004436F9">
      <w:pPr>
        <w:numPr>
          <w:ilvl w:val="0"/>
          <w:numId w:val="7"/>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collision with </w:t>
      </w:r>
      <w:r>
        <w:rPr>
          <w:rFonts w:ascii="Times New Roman" w:hAnsi="Times New Roman" w:cs="Times New Roman" w:hint="eastAsia"/>
          <w:bCs/>
          <w:i/>
          <w:sz w:val="20"/>
          <w:szCs w:val="20"/>
        </w:rPr>
        <w:t>PDCCH reception</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configured by a</w:t>
      </w:r>
      <w:r>
        <w:rPr>
          <w:rFonts w:ascii="Times New Roman" w:hAnsi="Times New Roman" w:cs="Times New Roman"/>
          <w:bCs/>
          <w:i/>
          <w:sz w:val="20"/>
          <w:szCs w:val="20"/>
        </w:rPr>
        <w:t xml:space="preserve"> CSS set configuration vs semi-statically configured UL transmission</w:t>
      </w:r>
      <w:r>
        <w:rPr>
          <w:rFonts w:ascii="Times New Roman" w:hAnsi="Times New Roman" w:cs="Times New Roman" w:hint="eastAsia"/>
          <w:bCs/>
          <w:i/>
          <w:sz w:val="20"/>
          <w:szCs w:val="20"/>
        </w:rPr>
        <w:t>s</w:t>
      </w:r>
      <w:r>
        <w:rPr>
          <w:rFonts w:ascii="Times New Roman" w:hAnsi="Times New Roman" w:cs="Times New Roman"/>
          <w:bCs/>
          <w:i/>
          <w:sz w:val="20"/>
          <w:szCs w:val="20"/>
        </w:rPr>
        <w:t>: prioritize the reception of this type of DL channels</w:t>
      </w:r>
    </w:p>
    <w:p w:rsidR="001D2FCC" w:rsidRDefault="004436F9">
      <w:pPr>
        <w:numPr>
          <w:ilvl w:val="0"/>
          <w:numId w:val="7"/>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other collision, it’s up to </w:t>
      </w:r>
      <w:r>
        <w:rPr>
          <w:rFonts w:ascii="Times New Roman" w:hAnsi="Times New Roman" w:cs="Times New Roman" w:hint="eastAsia"/>
          <w:bCs/>
          <w:i/>
          <w:sz w:val="20"/>
          <w:szCs w:val="20"/>
        </w:rPr>
        <w:t>UE</w:t>
      </w:r>
      <w:r>
        <w:rPr>
          <w:rFonts w:ascii="Times New Roman" w:hAnsi="Times New Roman" w:cs="Times New Roman"/>
          <w:bCs/>
          <w:i/>
          <w:sz w:val="20"/>
          <w:szCs w:val="20"/>
        </w:rPr>
        <w:t xml:space="preserve">’s </w:t>
      </w:r>
      <w:r>
        <w:rPr>
          <w:rFonts w:ascii="Times New Roman" w:hAnsi="Times New Roman" w:cs="Times New Roman" w:hint="eastAsia"/>
          <w:bCs/>
          <w:i/>
          <w:sz w:val="20"/>
          <w:szCs w:val="20"/>
        </w:rPr>
        <w:t>implementation.</w:t>
      </w:r>
    </w:p>
    <w:p w:rsidR="001D2FCC" w:rsidRDefault="004436F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1D2FCC" w:rsidRDefault="004436F9">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According to the analysis given above, we have </w:t>
      </w:r>
      <w:r>
        <w:rPr>
          <w:rFonts w:ascii="Times New Roman" w:eastAsia="宋体" w:hAnsi="Times New Roman" w:cs="Times New Roman" w:hint="eastAsia"/>
          <w:sz w:val="20"/>
          <w:szCs w:val="20"/>
        </w:rPr>
        <w:t>the following observations and proposals:</w:t>
      </w:r>
    </w:p>
    <w:p w:rsidR="001D2FCC" w:rsidRDefault="004436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bCs/>
          <w:i/>
          <w:iCs/>
          <w:sz w:val="20"/>
          <w:szCs w:val="20"/>
        </w:rPr>
        <w:t xml:space="preserve">At least for case 4,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1D2FCC" w:rsidRDefault="004436F9">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the </w:t>
      </w:r>
      <w:r>
        <w:rPr>
          <w:rFonts w:ascii="Times New Roman" w:hAnsi="Times New Roman" w:cs="Times New Roman"/>
          <w:bCs/>
          <w:i/>
          <w:iCs/>
          <w:sz w:val="20"/>
          <w:szCs w:val="20"/>
        </w:rPr>
        <w:t>TA report can be enhanced by introducing finer granularity and triggering offset threshold to further reduce the ratio of unavailable resource due to avoiding collis</w:t>
      </w:r>
      <w:r>
        <w:rPr>
          <w:rFonts w:ascii="Times New Roman" w:hAnsi="Times New Roman" w:cs="Times New Roman"/>
          <w:bCs/>
          <w:i/>
          <w:iCs/>
          <w:sz w:val="20"/>
          <w:szCs w:val="20"/>
        </w:rPr>
        <w:t>ion cases.</w:t>
      </w:r>
    </w:p>
    <w:p w:rsidR="001D2FCC" w:rsidRDefault="004436F9">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hint="eastAsia"/>
          <w:bCs/>
          <w:i/>
          <w:iCs/>
          <w:sz w:val="20"/>
          <w:szCs w:val="20"/>
        </w:rPr>
        <w:t xml:space="preserve">For case 3, RAN1 can </w:t>
      </w:r>
      <w:r>
        <w:rPr>
          <w:rFonts w:ascii="Times New Roman" w:hAnsi="Times New Roman" w:cs="Times New Roman"/>
          <w:bCs/>
          <w:i/>
          <w:iCs/>
          <w:sz w:val="20"/>
          <w:szCs w:val="20"/>
        </w:rPr>
        <w:t xml:space="preserve">additionally </w:t>
      </w:r>
      <w:r>
        <w:rPr>
          <w:rFonts w:ascii="Times New Roman" w:hAnsi="Times New Roman" w:cs="Times New Roman" w:hint="eastAsia"/>
          <w:bCs/>
          <w:i/>
          <w:iCs/>
          <w:sz w:val="20"/>
          <w:szCs w:val="20"/>
        </w:rPr>
        <w:t>de</w:t>
      </w:r>
      <w:r>
        <w:rPr>
          <w:rFonts w:ascii="Times New Roman" w:hAnsi="Times New Roman" w:cs="Times New Roman"/>
          <w:bCs/>
          <w:i/>
          <w:iCs/>
          <w:sz w:val="20"/>
          <w:szCs w:val="20"/>
        </w:rPr>
        <w:t xml:space="preserve">fine following </w:t>
      </w:r>
      <w:r>
        <w:rPr>
          <w:rFonts w:ascii="Times New Roman" w:hAnsi="Times New Roman" w:cs="Times New Roman" w:hint="eastAsia"/>
          <w:bCs/>
          <w:i/>
          <w:iCs/>
          <w:sz w:val="20"/>
          <w:szCs w:val="20"/>
        </w:rPr>
        <w:t xml:space="preserve">rules </w:t>
      </w:r>
      <w:r>
        <w:rPr>
          <w:rFonts w:ascii="Times New Roman" w:hAnsi="Times New Roman" w:cs="Times New Roman"/>
          <w:bCs/>
          <w:i/>
          <w:iCs/>
          <w:sz w:val="20"/>
          <w:szCs w:val="20"/>
        </w:rPr>
        <w:t>to address the collision between semi-statically configured DL reception vs. UL transmission case by case:</w:t>
      </w:r>
    </w:p>
    <w:p w:rsidR="001D2FCC" w:rsidRDefault="004436F9">
      <w:pPr>
        <w:numPr>
          <w:ilvl w:val="0"/>
          <w:numId w:val="7"/>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collision with </w:t>
      </w:r>
      <w:r>
        <w:rPr>
          <w:rFonts w:ascii="Times New Roman" w:hAnsi="Times New Roman" w:cs="Times New Roman" w:hint="eastAsia"/>
          <w:bCs/>
          <w:i/>
          <w:sz w:val="20"/>
          <w:szCs w:val="20"/>
        </w:rPr>
        <w:t>PDCCH reception</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configured by a</w:t>
      </w:r>
      <w:r>
        <w:rPr>
          <w:rFonts w:ascii="Times New Roman" w:hAnsi="Times New Roman" w:cs="Times New Roman"/>
          <w:bCs/>
          <w:i/>
          <w:sz w:val="20"/>
          <w:szCs w:val="20"/>
        </w:rPr>
        <w:t xml:space="preserve"> CSS set config</w:t>
      </w:r>
      <w:r>
        <w:rPr>
          <w:rFonts w:ascii="Times New Roman" w:hAnsi="Times New Roman" w:cs="Times New Roman"/>
          <w:bCs/>
          <w:i/>
          <w:sz w:val="20"/>
          <w:szCs w:val="20"/>
        </w:rPr>
        <w:t>uration vs semi-statically configured UL transmission</w:t>
      </w:r>
      <w:r>
        <w:rPr>
          <w:rFonts w:ascii="Times New Roman" w:hAnsi="Times New Roman" w:cs="Times New Roman" w:hint="eastAsia"/>
          <w:bCs/>
          <w:i/>
          <w:sz w:val="20"/>
          <w:szCs w:val="20"/>
        </w:rPr>
        <w:t>s</w:t>
      </w:r>
      <w:r>
        <w:rPr>
          <w:rFonts w:ascii="Times New Roman" w:hAnsi="Times New Roman" w:cs="Times New Roman"/>
          <w:bCs/>
          <w:i/>
          <w:sz w:val="20"/>
          <w:szCs w:val="20"/>
        </w:rPr>
        <w:t>: prioritize the reception of this type of DL channels</w:t>
      </w:r>
    </w:p>
    <w:p w:rsidR="001D2FCC" w:rsidRDefault="004436F9">
      <w:pPr>
        <w:numPr>
          <w:ilvl w:val="0"/>
          <w:numId w:val="7"/>
        </w:numPr>
        <w:spacing w:before="120" w:after="120" w:line="240" w:lineRule="auto"/>
        <w:jc w:val="both"/>
        <w:rPr>
          <w:rFonts w:ascii="Times New Roman" w:hAnsi="Times New Roman" w:cs="Times New Roman"/>
          <w:bCs/>
          <w:i/>
          <w:sz w:val="20"/>
          <w:szCs w:val="20"/>
        </w:rPr>
      </w:pPr>
      <w:r>
        <w:rPr>
          <w:rFonts w:ascii="Times New Roman" w:hAnsi="Times New Roman" w:cs="Times New Roman"/>
          <w:bCs/>
          <w:i/>
          <w:sz w:val="20"/>
          <w:szCs w:val="20"/>
        </w:rPr>
        <w:t xml:space="preserve">For the other collision, it’s up to </w:t>
      </w:r>
      <w:r>
        <w:rPr>
          <w:rFonts w:ascii="Times New Roman" w:hAnsi="Times New Roman" w:cs="Times New Roman" w:hint="eastAsia"/>
          <w:bCs/>
          <w:i/>
          <w:sz w:val="20"/>
          <w:szCs w:val="20"/>
        </w:rPr>
        <w:t>UE</w:t>
      </w:r>
      <w:r>
        <w:rPr>
          <w:rFonts w:ascii="Times New Roman" w:hAnsi="Times New Roman" w:cs="Times New Roman"/>
          <w:bCs/>
          <w:i/>
          <w:sz w:val="20"/>
          <w:szCs w:val="20"/>
        </w:rPr>
        <w:t xml:space="preserve">’s </w:t>
      </w:r>
      <w:r>
        <w:rPr>
          <w:rFonts w:ascii="Times New Roman" w:hAnsi="Times New Roman" w:cs="Times New Roman" w:hint="eastAsia"/>
          <w:bCs/>
          <w:i/>
          <w:sz w:val="20"/>
          <w:szCs w:val="20"/>
        </w:rPr>
        <w:t>implementation.</w:t>
      </w:r>
    </w:p>
    <w:p w:rsidR="001D2FCC" w:rsidRDefault="004436F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1D2FCC" w:rsidRDefault="004436F9">
      <w:pPr>
        <w:pStyle w:val="ListParagraph1"/>
        <w:numPr>
          <w:ilvl w:val="0"/>
          <w:numId w:val="8"/>
        </w:numPr>
        <w:spacing w:after="0" w:line="240" w:lineRule="auto"/>
        <w:ind w:left="505" w:hanging="505"/>
        <w:jc w:val="both"/>
        <w:rPr>
          <w:rFonts w:ascii="Times New Roman" w:hAnsi="Times New Roman" w:cs="Times New Roman"/>
          <w:sz w:val="20"/>
          <w:szCs w:val="20"/>
        </w:rPr>
      </w:pPr>
      <w:bookmarkStart w:id="4" w:name="_Ref158015692"/>
      <w:bookmarkStart w:id="5" w:name="_Ref2933"/>
      <w:bookmarkStart w:id="6" w:name="_Ref32552"/>
      <w:bookmarkStart w:id="7" w:name="_Ref10563"/>
      <w:r>
        <w:rPr>
          <w:rFonts w:ascii="Times New Roman" w:hAnsi="Times New Roman" w:cs="Times New Roman" w:hint="eastAsia"/>
          <w:sz w:val="20"/>
          <w:szCs w:val="20"/>
        </w:rPr>
        <w:t>Draft_Minutes_report_RAN1#117_v020</w:t>
      </w:r>
    </w:p>
    <w:p w:rsidR="001D2FCC" w:rsidRDefault="004436F9">
      <w:pPr>
        <w:pStyle w:val="ListParagraph1"/>
        <w:numPr>
          <w:ilvl w:val="0"/>
          <w:numId w:val="8"/>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RP-241667, Revised WID: Non-Terrestrial </w:t>
      </w:r>
      <w:r>
        <w:rPr>
          <w:rFonts w:ascii="Times New Roman" w:hAnsi="Times New Roman" w:cs="Times New Roman" w:hint="eastAsia"/>
          <w:sz w:val="20"/>
          <w:szCs w:val="20"/>
        </w:rPr>
        <w:t>Networks (NTN) for NR Phase 3</w:t>
      </w:r>
      <w:r w:rsidR="00C308DF">
        <w:rPr>
          <w:rFonts w:ascii="Times New Roman" w:hAnsi="Times New Roman" w:cs="Times New Roman"/>
          <w:sz w:val="20"/>
          <w:szCs w:val="20"/>
        </w:rPr>
        <w:t>.</w:t>
      </w:r>
      <w:bookmarkStart w:id="8" w:name="_GoBack"/>
      <w:bookmarkEnd w:id="8"/>
    </w:p>
    <w:p w:rsidR="001D2FCC" w:rsidRDefault="004436F9">
      <w:pPr>
        <w:pStyle w:val="ListParagraph1"/>
        <w:numPr>
          <w:ilvl w:val="0"/>
          <w:numId w:val="8"/>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R1-2404215, </w:t>
      </w:r>
      <w:r>
        <w:rPr>
          <w:rFonts w:ascii="Times New Roman" w:hAnsi="Times New Roman" w:cs="Times New Roman"/>
          <w:sz w:val="20"/>
          <w:szCs w:val="20"/>
        </w:rPr>
        <w:t xml:space="preserve">Discussion on support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UEs for NR NTN</w:t>
      </w:r>
      <w:r>
        <w:rPr>
          <w:rFonts w:ascii="Times New Roman" w:hAnsi="Times New Roman" w:cs="Times New Roman" w:hint="eastAsia"/>
          <w:sz w:val="20"/>
          <w:szCs w:val="20"/>
        </w:rPr>
        <w:t>, ZTE</w:t>
      </w:r>
    </w:p>
    <w:p w:rsidR="001D2FCC" w:rsidRDefault="004436F9">
      <w:pPr>
        <w:pStyle w:val="ListParagraph1"/>
        <w:numPr>
          <w:ilvl w:val="0"/>
          <w:numId w:val="8"/>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R1-2405741, Summary #3 for 9.11.2 Support of </w:t>
      </w:r>
      <w:proofErr w:type="spellStart"/>
      <w:r>
        <w:rPr>
          <w:rFonts w:ascii="Times New Roman" w:hAnsi="Times New Roman" w:cs="Times New Roman" w:hint="eastAsia"/>
          <w:sz w:val="20"/>
          <w:szCs w:val="20"/>
        </w:rPr>
        <w:t>RedCap</w:t>
      </w:r>
      <w:proofErr w:type="spellEnd"/>
      <w:r>
        <w:rPr>
          <w:rFonts w:ascii="Times New Roman" w:hAnsi="Times New Roman" w:cs="Times New Roman" w:hint="eastAsia"/>
          <w:sz w:val="20"/>
          <w:szCs w:val="20"/>
        </w:rPr>
        <w:t xml:space="preserve"> and </w:t>
      </w:r>
      <w:proofErr w:type="spellStart"/>
      <w:r>
        <w:rPr>
          <w:rFonts w:ascii="Times New Roman" w:hAnsi="Times New Roman" w:cs="Times New Roman" w:hint="eastAsia"/>
          <w:sz w:val="20"/>
          <w:szCs w:val="20"/>
        </w:rPr>
        <w:t>eRedCap</w:t>
      </w:r>
      <w:proofErr w:type="spellEnd"/>
      <w:r>
        <w:rPr>
          <w:rFonts w:ascii="Times New Roman" w:hAnsi="Times New Roman" w:cs="Times New Roman" w:hint="eastAsia"/>
          <w:sz w:val="20"/>
          <w:szCs w:val="20"/>
        </w:rPr>
        <w:t xml:space="preserve"> UEs with NR NTN operating in FR1-NTN bands</w:t>
      </w:r>
      <w:r w:rsidR="00C308DF">
        <w:rPr>
          <w:rFonts w:ascii="Times New Roman" w:hAnsi="Times New Roman" w:cs="Times New Roman" w:hint="eastAsia"/>
          <w:sz w:val="20"/>
          <w:szCs w:val="20"/>
        </w:rPr>
        <w:t>.</w:t>
      </w:r>
    </w:p>
    <w:bookmarkEnd w:id="4"/>
    <w:bookmarkEnd w:id="5"/>
    <w:bookmarkEnd w:id="6"/>
    <w:bookmarkEnd w:id="7"/>
    <w:p w:rsidR="001D2FCC" w:rsidRDefault="001D2FCC">
      <w:pPr>
        <w:pStyle w:val="ListParagraph1"/>
        <w:numPr>
          <w:ilvl w:val="255"/>
          <w:numId w:val="0"/>
        </w:numPr>
        <w:spacing w:after="0" w:line="240" w:lineRule="auto"/>
        <w:ind w:left="720"/>
        <w:rPr>
          <w:rFonts w:ascii="Times New Roman" w:hAnsi="Times New Roman" w:cs="Times New Roman"/>
          <w:sz w:val="20"/>
          <w:szCs w:val="20"/>
        </w:rPr>
      </w:pPr>
    </w:p>
    <w:sectPr w:rsidR="001D2F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6F9" w:rsidRDefault="004436F9">
      <w:pPr>
        <w:spacing w:line="240" w:lineRule="auto"/>
      </w:pPr>
      <w:r>
        <w:separator/>
      </w:r>
    </w:p>
  </w:endnote>
  <w:endnote w:type="continuationSeparator" w:id="0">
    <w:p w:rsidR="004436F9" w:rsidRDefault="004436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6F9" w:rsidRDefault="004436F9">
      <w:pPr>
        <w:spacing w:line="240" w:lineRule="auto"/>
      </w:pPr>
      <w:r>
        <w:separator/>
      </w:r>
    </w:p>
  </w:footnote>
  <w:footnote w:type="continuationSeparator" w:id="0">
    <w:p w:rsidR="004436F9" w:rsidRDefault="004436F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E42F09"/>
    <w:multiLevelType w:val="multilevel"/>
    <w:tmpl w:val="4FE42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F5B598"/>
    <w:multiLevelType w:val="singleLevel"/>
    <w:tmpl w:val="4FF5B598"/>
    <w:lvl w:ilvl="0">
      <w:start w:val="1"/>
      <w:numFmt w:val="bullet"/>
      <w:lvlText w:val="·"/>
      <w:lvlJc w:val="left"/>
      <w:pPr>
        <w:ind w:left="420" w:hanging="420"/>
      </w:pPr>
      <w:rPr>
        <w:rFonts w:ascii="仿宋" w:eastAsia="仿宋" w:hAnsi="仿宋" w:cs="仿宋" w:hint="default"/>
      </w:rPr>
    </w:lvl>
  </w:abstractNum>
  <w:abstractNum w:abstractNumId="7" w15:restartNumberingAfterBreak="0">
    <w:nsid w:val="6FCC3B47"/>
    <w:multiLevelType w:val="singleLevel"/>
    <w:tmpl w:val="6FCC3B47"/>
    <w:lvl w:ilvl="0">
      <w:start w:val="1"/>
      <w:numFmt w:val="bullet"/>
      <w:lvlText w:val="·"/>
      <w:lvlJc w:val="left"/>
      <w:pPr>
        <w:ind w:left="420" w:hanging="420"/>
      </w:pPr>
      <w:rPr>
        <w:rFonts w:ascii="仿宋" w:eastAsia="仿宋" w:hAnsi="仿宋" w:cs="仿宋"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39BE"/>
    <w:rsid w:val="00004DF2"/>
    <w:rsid w:val="00007764"/>
    <w:rsid w:val="00010661"/>
    <w:rsid w:val="000139C8"/>
    <w:rsid w:val="00014155"/>
    <w:rsid w:val="00014FBE"/>
    <w:rsid w:val="00015922"/>
    <w:rsid w:val="000179D0"/>
    <w:rsid w:val="00020ACD"/>
    <w:rsid w:val="00020D74"/>
    <w:rsid w:val="00025C03"/>
    <w:rsid w:val="00026EB7"/>
    <w:rsid w:val="00034B6A"/>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D58D4"/>
    <w:rsid w:val="000E1CD6"/>
    <w:rsid w:val="000E428C"/>
    <w:rsid w:val="000E43EF"/>
    <w:rsid w:val="000E65DF"/>
    <w:rsid w:val="000F35A7"/>
    <w:rsid w:val="000F4635"/>
    <w:rsid w:val="001005DF"/>
    <w:rsid w:val="00101276"/>
    <w:rsid w:val="00104756"/>
    <w:rsid w:val="001074E3"/>
    <w:rsid w:val="0010757D"/>
    <w:rsid w:val="00111AC4"/>
    <w:rsid w:val="00116C64"/>
    <w:rsid w:val="00117793"/>
    <w:rsid w:val="00122DA9"/>
    <w:rsid w:val="00124527"/>
    <w:rsid w:val="00125D48"/>
    <w:rsid w:val="00126772"/>
    <w:rsid w:val="001328DC"/>
    <w:rsid w:val="00134A0D"/>
    <w:rsid w:val="00141D5E"/>
    <w:rsid w:val="00143DB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28B7"/>
    <w:rsid w:val="001A3B5B"/>
    <w:rsid w:val="001B06CC"/>
    <w:rsid w:val="001B410A"/>
    <w:rsid w:val="001B5A89"/>
    <w:rsid w:val="001B68F8"/>
    <w:rsid w:val="001C0CDB"/>
    <w:rsid w:val="001C3539"/>
    <w:rsid w:val="001C753E"/>
    <w:rsid w:val="001D0196"/>
    <w:rsid w:val="001D19C1"/>
    <w:rsid w:val="001D2050"/>
    <w:rsid w:val="001D21DF"/>
    <w:rsid w:val="001D2FCC"/>
    <w:rsid w:val="001D6B75"/>
    <w:rsid w:val="001D713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2A3E"/>
    <w:rsid w:val="00225F89"/>
    <w:rsid w:val="00237CB6"/>
    <w:rsid w:val="00245E67"/>
    <w:rsid w:val="00251EB0"/>
    <w:rsid w:val="00255736"/>
    <w:rsid w:val="002633E4"/>
    <w:rsid w:val="002633FA"/>
    <w:rsid w:val="00265AF7"/>
    <w:rsid w:val="00273E00"/>
    <w:rsid w:val="00282C56"/>
    <w:rsid w:val="00286B13"/>
    <w:rsid w:val="00290DFD"/>
    <w:rsid w:val="0029101B"/>
    <w:rsid w:val="002936E6"/>
    <w:rsid w:val="002968FF"/>
    <w:rsid w:val="00296AF4"/>
    <w:rsid w:val="002A0733"/>
    <w:rsid w:val="002A19CB"/>
    <w:rsid w:val="002A5914"/>
    <w:rsid w:val="002A67BF"/>
    <w:rsid w:val="002A7480"/>
    <w:rsid w:val="002B13FE"/>
    <w:rsid w:val="002B4F46"/>
    <w:rsid w:val="002B71D6"/>
    <w:rsid w:val="002C2581"/>
    <w:rsid w:val="002C46A7"/>
    <w:rsid w:val="002C4E9E"/>
    <w:rsid w:val="002C6631"/>
    <w:rsid w:val="002C7039"/>
    <w:rsid w:val="002D0A9A"/>
    <w:rsid w:val="002D3755"/>
    <w:rsid w:val="002D4344"/>
    <w:rsid w:val="002D519E"/>
    <w:rsid w:val="002D7396"/>
    <w:rsid w:val="002E4CF3"/>
    <w:rsid w:val="002F0537"/>
    <w:rsid w:val="002F1874"/>
    <w:rsid w:val="002F1F87"/>
    <w:rsid w:val="002F30DE"/>
    <w:rsid w:val="002F3B77"/>
    <w:rsid w:val="002F6513"/>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E55"/>
    <w:rsid w:val="00392465"/>
    <w:rsid w:val="003934F8"/>
    <w:rsid w:val="00396148"/>
    <w:rsid w:val="00396FDA"/>
    <w:rsid w:val="0039745B"/>
    <w:rsid w:val="00397AE7"/>
    <w:rsid w:val="00397BAA"/>
    <w:rsid w:val="00397BBC"/>
    <w:rsid w:val="003A0763"/>
    <w:rsid w:val="003A0BD6"/>
    <w:rsid w:val="003B23FE"/>
    <w:rsid w:val="003B26E4"/>
    <w:rsid w:val="003C2107"/>
    <w:rsid w:val="003C3C70"/>
    <w:rsid w:val="003D674C"/>
    <w:rsid w:val="003D6B19"/>
    <w:rsid w:val="003E3E3A"/>
    <w:rsid w:val="003E6293"/>
    <w:rsid w:val="003F0BAF"/>
    <w:rsid w:val="003F1C73"/>
    <w:rsid w:val="003F3770"/>
    <w:rsid w:val="003F79EF"/>
    <w:rsid w:val="004037A9"/>
    <w:rsid w:val="0040661F"/>
    <w:rsid w:val="004078B8"/>
    <w:rsid w:val="00410235"/>
    <w:rsid w:val="004116B4"/>
    <w:rsid w:val="004135A0"/>
    <w:rsid w:val="00417110"/>
    <w:rsid w:val="00422100"/>
    <w:rsid w:val="00425415"/>
    <w:rsid w:val="00426A3D"/>
    <w:rsid w:val="00430CF9"/>
    <w:rsid w:val="00430E84"/>
    <w:rsid w:val="004319CA"/>
    <w:rsid w:val="00431A5D"/>
    <w:rsid w:val="00434684"/>
    <w:rsid w:val="004356A6"/>
    <w:rsid w:val="00437898"/>
    <w:rsid w:val="00440760"/>
    <w:rsid w:val="0044101B"/>
    <w:rsid w:val="00441A19"/>
    <w:rsid w:val="00441E8A"/>
    <w:rsid w:val="00442E5E"/>
    <w:rsid w:val="004436F9"/>
    <w:rsid w:val="00445CAB"/>
    <w:rsid w:val="004513E6"/>
    <w:rsid w:val="00451E19"/>
    <w:rsid w:val="00451EF6"/>
    <w:rsid w:val="00454852"/>
    <w:rsid w:val="0045672F"/>
    <w:rsid w:val="004579CF"/>
    <w:rsid w:val="00462D69"/>
    <w:rsid w:val="004637DB"/>
    <w:rsid w:val="004648DB"/>
    <w:rsid w:val="00465488"/>
    <w:rsid w:val="004710EA"/>
    <w:rsid w:val="00471A5A"/>
    <w:rsid w:val="00472246"/>
    <w:rsid w:val="0047289C"/>
    <w:rsid w:val="00472D3D"/>
    <w:rsid w:val="004738B0"/>
    <w:rsid w:val="00474B84"/>
    <w:rsid w:val="00475894"/>
    <w:rsid w:val="004770F4"/>
    <w:rsid w:val="00482F7E"/>
    <w:rsid w:val="0048318D"/>
    <w:rsid w:val="00485192"/>
    <w:rsid w:val="004914C1"/>
    <w:rsid w:val="00491BF8"/>
    <w:rsid w:val="00495737"/>
    <w:rsid w:val="00497C9C"/>
    <w:rsid w:val="004A0C50"/>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5267"/>
    <w:rsid w:val="00510919"/>
    <w:rsid w:val="0051302E"/>
    <w:rsid w:val="00517B2E"/>
    <w:rsid w:val="00520395"/>
    <w:rsid w:val="00520E65"/>
    <w:rsid w:val="005332A0"/>
    <w:rsid w:val="00536BAA"/>
    <w:rsid w:val="00542CCB"/>
    <w:rsid w:val="005434FE"/>
    <w:rsid w:val="00543D3A"/>
    <w:rsid w:val="005453C8"/>
    <w:rsid w:val="00551616"/>
    <w:rsid w:val="00552969"/>
    <w:rsid w:val="00556B4D"/>
    <w:rsid w:val="005610CB"/>
    <w:rsid w:val="00563061"/>
    <w:rsid w:val="005647C8"/>
    <w:rsid w:val="005666B0"/>
    <w:rsid w:val="0058050C"/>
    <w:rsid w:val="0058472C"/>
    <w:rsid w:val="0058500C"/>
    <w:rsid w:val="005900DB"/>
    <w:rsid w:val="00590A36"/>
    <w:rsid w:val="00594AF1"/>
    <w:rsid w:val="00594D59"/>
    <w:rsid w:val="005963A2"/>
    <w:rsid w:val="005A04C6"/>
    <w:rsid w:val="005A3F31"/>
    <w:rsid w:val="005A4438"/>
    <w:rsid w:val="005A64F6"/>
    <w:rsid w:val="005A6E7D"/>
    <w:rsid w:val="005B0735"/>
    <w:rsid w:val="005B13FE"/>
    <w:rsid w:val="005B560A"/>
    <w:rsid w:val="005B7DEF"/>
    <w:rsid w:val="005C0BFD"/>
    <w:rsid w:val="005C28E7"/>
    <w:rsid w:val="005C6294"/>
    <w:rsid w:val="005D1271"/>
    <w:rsid w:val="005D1EBB"/>
    <w:rsid w:val="005D6C77"/>
    <w:rsid w:val="005D7779"/>
    <w:rsid w:val="005E3045"/>
    <w:rsid w:val="005E3EC1"/>
    <w:rsid w:val="005E722F"/>
    <w:rsid w:val="005F05BC"/>
    <w:rsid w:val="005F348F"/>
    <w:rsid w:val="005F401A"/>
    <w:rsid w:val="005F42EB"/>
    <w:rsid w:val="005F65FA"/>
    <w:rsid w:val="005F6CD9"/>
    <w:rsid w:val="00600E6E"/>
    <w:rsid w:val="00602286"/>
    <w:rsid w:val="00603774"/>
    <w:rsid w:val="00605B70"/>
    <w:rsid w:val="00606F8B"/>
    <w:rsid w:val="0061200B"/>
    <w:rsid w:val="00612837"/>
    <w:rsid w:val="00616B65"/>
    <w:rsid w:val="00617D34"/>
    <w:rsid w:val="00624DD8"/>
    <w:rsid w:val="00627CE8"/>
    <w:rsid w:val="00627E7C"/>
    <w:rsid w:val="006315DA"/>
    <w:rsid w:val="00632CEB"/>
    <w:rsid w:val="00633EEB"/>
    <w:rsid w:val="00635ADA"/>
    <w:rsid w:val="006375A2"/>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3939"/>
    <w:rsid w:val="006E4FFC"/>
    <w:rsid w:val="006E5859"/>
    <w:rsid w:val="006F30C8"/>
    <w:rsid w:val="006F670C"/>
    <w:rsid w:val="006F7BF9"/>
    <w:rsid w:val="006F7C56"/>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76595"/>
    <w:rsid w:val="00783E34"/>
    <w:rsid w:val="0078428E"/>
    <w:rsid w:val="00787DD0"/>
    <w:rsid w:val="007920BE"/>
    <w:rsid w:val="00792B3A"/>
    <w:rsid w:val="0079451A"/>
    <w:rsid w:val="0079548A"/>
    <w:rsid w:val="007A0BEC"/>
    <w:rsid w:val="007A279D"/>
    <w:rsid w:val="007A4247"/>
    <w:rsid w:val="007A482D"/>
    <w:rsid w:val="007A565B"/>
    <w:rsid w:val="007A5EC9"/>
    <w:rsid w:val="007A7320"/>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29E"/>
    <w:rsid w:val="007D7482"/>
    <w:rsid w:val="007E58B4"/>
    <w:rsid w:val="007E6570"/>
    <w:rsid w:val="007F4B43"/>
    <w:rsid w:val="00800BA1"/>
    <w:rsid w:val="008042FC"/>
    <w:rsid w:val="00804A83"/>
    <w:rsid w:val="00805812"/>
    <w:rsid w:val="00806A22"/>
    <w:rsid w:val="00812F10"/>
    <w:rsid w:val="00817C79"/>
    <w:rsid w:val="00821AC3"/>
    <w:rsid w:val="00824CF8"/>
    <w:rsid w:val="00826696"/>
    <w:rsid w:val="0083240D"/>
    <w:rsid w:val="0084105F"/>
    <w:rsid w:val="0084202C"/>
    <w:rsid w:val="00850EC4"/>
    <w:rsid w:val="00857A37"/>
    <w:rsid w:val="00860492"/>
    <w:rsid w:val="0086159D"/>
    <w:rsid w:val="00862500"/>
    <w:rsid w:val="00862AC7"/>
    <w:rsid w:val="0086361B"/>
    <w:rsid w:val="00873EA5"/>
    <w:rsid w:val="00874018"/>
    <w:rsid w:val="00874424"/>
    <w:rsid w:val="00875E37"/>
    <w:rsid w:val="00882487"/>
    <w:rsid w:val="008833A0"/>
    <w:rsid w:val="00887CFA"/>
    <w:rsid w:val="00893985"/>
    <w:rsid w:val="008944E4"/>
    <w:rsid w:val="008951BD"/>
    <w:rsid w:val="00896623"/>
    <w:rsid w:val="00897FCA"/>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142E"/>
    <w:rsid w:val="008E4956"/>
    <w:rsid w:val="008E5779"/>
    <w:rsid w:val="008E731B"/>
    <w:rsid w:val="008F0546"/>
    <w:rsid w:val="008F19CE"/>
    <w:rsid w:val="008F1B0C"/>
    <w:rsid w:val="008F2F4A"/>
    <w:rsid w:val="008F5ACC"/>
    <w:rsid w:val="008F61B0"/>
    <w:rsid w:val="009002D1"/>
    <w:rsid w:val="009062E5"/>
    <w:rsid w:val="00912640"/>
    <w:rsid w:val="009147B7"/>
    <w:rsid w:val="00914CC2"/>
    <w:rsid w:val="009203EA"/>
    <w:rsid w:val="009219BB"/>
    <w:rsid w:val="00922038"/>
    <w:rsid w:val="00930332"/>
    <w:rsid w:val="00931345"/>
    <w:rsid w:val="00935DAD"/>
    <w:rsid w:val="0093602C"/>
    <w:rsid w:val="00936527"/>
    <w:rsid w:val="00943B6B"/>
    <w:rsid w:val="0094422B"/>
    <w:rsid w:val="00952102"/>
    <w:rsid w:val="00955E1D"/>
    <w:rsid w:val="009565DA"/>
    <w:rsid w:val="00960F0C"/>
    <w:rsid w:val="00961559"/>
    <w:rsid w:val="00964611"/>
    <w:rsid w:val="00964AD7"/>
    <w:rsid w:val="00965D84"/>
    <w:rsid w:val="0096782C"/>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B315E"/>
    <w:rsid w:val="009B562D"/>
    <w:rsid w:val="009C1E4B"/>
    <w:rsid w:val="009C2E35"/>
    <w:rsid w:val="009C450B"/>
    <w:rsid w:val="009D265A"/>
    <w:rsid w:val="009D3797"/>
    <w:rsid w:val="009D6F42"/>
    <w:rsid w:val="009D768F"/>
    <w:rsid w:val="009E1A98"/>
    <w:rsid w:val="009E1AD2"/>
    <w:rsid w:val="009E1B7B"/>
    <w:rsid w:val="009E3032"/>
    <w:rsid w:val="009E3C8A"/>
    <w:rsid w:val="009F50F3"/>
    <w:rsid w:val="009F6E2B"/>
    <w:rsid w:val="00A060E1"/>
    <w:rsid w:val="00A069BB"/>
    <w:rsid w:val="00A14091"/>
    <w:rsid w:val="00A20C2D"/>
    <w:rsid w:val="00A20CAB"/>
    <w:rsid w:val="00A21BAA"/>
    <w:rsid w:val="00A262BF"/>
    <w:rsid w:val="00A270F3"/>
    <w:rsid w:val="00A27E23"/>
    <w:rsid w:val="00A31BCB"/>
    <w:rsid w:val="00A350E6"/>
    <w:rsid w:val="00A40D44"/>
    <w:rsid w:val="00A425EF"/>
    <w:rsid w:val="00A42B1F"/>
    <w:rsid w:val="00A431FC"/>
    <w:rsid w:val="00A542C1"/>
    <w:rsid w:val="00A54EEF"/>
    <w:rsid w:val="00A5520A"/>
    <w:rsid w:val="00A66061"/>
    <w:rsid w:val="00A67D7E"/>
    <w:rsid w:val="00A715EE"/>
    <w:rsid w:val="00A717C0"/>
    <w:rsid w:val="00A71F79"/>
    <w:rsid w:val="00A7361B"/>
    <w:rsid w:val="00A74CE5"/>
    <w:rsid w:val="00A760AB"/>
    <w:rsid w:val="00A80046"/>
    <w:rsid w:val="00A80C19"/>
    <w:rsid w:val="00A80D2E"/>
    <w:rsid w:val="00A82286"/>
    <w:rsid w:val="00A83227"/>
    <w:rsid w:val="00A90ADE"/>
    <w:rsid w:val="00A92CD1"/>
    <w:rsid w:val="00A934E5"/>
    <w:rsid w:val="00A959F9"/>
    <w:rsid w:val="00A96AF4"/>
    <w:rsid w:val="00AA1991"/>
    <w:rsid w:val="00AA241D"/>
    <w:rsid w:val="00AA531A"/>
    <w:rsid w:val="00AA7008"/>
    <w:rsid w:val="00AB1830"/>
    <w:rsid w:val="00AB2B8D"/>
    <w:rsid w:val="00AB3436"/>
    <w:rsid w:val="00AB5BA8"/>
    <w:rsid w:val="00AB5D3B"/>
    <w:rsid w:val="00AB6779"/>
    <w:rsid w:val="00AB6FC3"/>
    <w:rsid w:val="00AC77F9"/>
    <w:rsid w:val="00AC7C58"/>
    <w:rsid w:val="00AD11F9"/>
    <w:rsid w:val="00AD189F"/>
    <w:rsid w:val="00AD1ACD"/>
    <w:rsid w:val="00AD3EF4"/>
    <w:rsid w:val="00AD4A03"/>
    <w:rsid w:val="00AD608F"/>
    <w:rsid w:val="00AD7836"/>
    <w:rsid w:val="00AE08C0"/>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2F5A"/>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77DA0"/>
    <w:rsid w:val="00B812D6"/>
    <w:rsid w:val="00B849B3"/>
    <w:rsid w:val="00B85067"/>
    <w:rsid w:val="00B85ADA"/>
    <w:rsid w:val="00B867FB"/>
    <w:rsid w:val="00B868AA"/>
    <w:rsid w:val="00B90453"/>
    <w:rsid w:val="00B90D35"/>
    <w:rsid w:val="00BA0A33"/>
    <w:rsid w:val="00BA22E9"/>
    <w:rsid w:val="00BA4A0B"/>
    <w:rsid w:val="00BB2908"/>
    <w:rsid w:val="00BB36DE"/>
    <w:rsid w:val="00BB4311"/>
    <w:rsid w:val="00BB574B"/>
    <w:rsid w:val="00BB613C"/>
    <w:rsid w:val="00BB6BC9"/>
    <w:rsid w:val="00BC00D4"/>
    <w:rsid w:val="00BC071D"/>
    <w:rsid w:val="00BC23D2"/>
    <w:rsid w:val="00BC2872"/>
    <w:rsid w:val="00BC2F8D"/>
    <w:rsid w:val="00BC3A68"/>
    <w:rsid w:val="00BC5991"/>
    <w:rsid w:val="00BD0E3E"/>
    <w:rsid w:val="00BD3651"/>
    <w:rsid w:val="00BE0DCD"/>
    <w:rsid w:val="00BE3BFA"/>
    <w:rsid w:val="00BE48CE"/>
    <w:rsid w:val="00BF05A0"/>
    <w:rsid w:val="00BF0B5A"/>
    <w:rsid w:val="00BF2428"/>
    <w:rsid w:val="00BF3D4A"/>
    <w:rsid w:val="00BF43B6"/>
    <w:rsid w:val="00C03206"/>
    <w:rsid w:val="00C0413B"/>
    <w:rsid w:val="00C077BF"/>
    <w:rsid w:val="00C108AB"/>
    <w:rsid w:val="00C16EF6"/>
    <w:rsid w:val="00C2140B"/>
    <w:rsid w:val="00C24D89"/>
    <w:rsid w:val="00C261AC"/>
    <w:rsid w:val="00C308DF"/>
    <w:rsid w:val="00C3210B"/>
    <w:rsid w:val="00C35688"/>
    <w:rsid w:val="00C42067"/>
    <w:rsid w:val="00C429B7"/>
    <w:rsid w:val="00C447D2"/>
    <w:rsid w:val="00C45A1E"/>
    <w:rsid w:val="00C473B5"/>
    <w:rsid w:val="00C47D77"/>
    <w:rsid w:val="00C50557"/>
    <w:rsid w:val="00C51BC8"/>
    <w:rsid w:val="00C533D5"/>
    <w:rsid w:val="00C56A2D"/>
    <w:rsid w:val="00C6194C"/>
    <w:rsid w:val="00C65357"/>
    <w:rsid w:val="00C735FB"/>
    <w:rsid w:val="00C73CFE"/>
    <w:rsid w:val="00C74A79"/>
    <w:rsid w:val="00C77087"/>
    <w:rsid w:val="00C806C0"/>
    <w:rsid w:val="00C80A5B"/>
    <w:rsid w:val="00C82048"/>
    <w:rsid w:val="00C8304F"/>
    <w:rsid w:val="00C85B2A"/>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59A9"/>
    <w:rsid w:val="00D103F7"/>
    <w:rsid w:val="00D133D9"/>
    <w:rsid w:val="00D24955"/>
    <w:rsid w:val="00D262F0"/>
    <w:rsid w:val="00D30865"/>
    <w:rsid w:val="00D31CC0"/>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77B"/>
    <w:rsid w:val="00DA4F70"/>
    <w:rsid w:val="00DA6972"/>
    <w:rsid w:val="00DB4B44"/>
    <w:rsid w:val="00DB6324"/>
    <w:rsid w:val="00DB65BC"/>
    <w:rsid w:val="00DC0207"/>
    <w:rsid w:val="00DC55EF"/>
    <w:rsid w:val="00DD0C64"/>
    <w:rsid w:val="00DD79B7"/>
    <w:rsid w:val="00DE04A2"/>
    <w:rsid w:val="00DE1AC5"/>
    <w:rsid w:val="00DE1B41"/>
    <w:rsid w:val="00DE478D"/>
    <w:rsid w:val="00DE66F1"/>
    <w:rsid w:val="00DE6CA5"/>
    <w:rsid w:val="00DF1C3C"/>
    <w:rsid w:val="00DF1D35"/>
    <w:rsid w:val="00DF1F1B"/>
    <w:rsid w:val="00DF2028"/>
    <w:rsid w:val="00E00F9B"/>
    <w:rsid w:val="00E015E8"/>
    <w:rsid w:val="00E04DA9"/>
    <w:rsid w:val="00E0502B"/>
    <w:rsid w:val="00E10C7C"/>
    <w:rsid w:val="00E1428E"/>
    <w:rsid w:val="00E1436D"/>
    <w:rsid w:val="00E1440C"/>
    <w:rsid w:val="00E158D5"/>
    <w:rsid w:val="00E20E4F"/>
    <w:rsid w:val="00E20F3F"/>
    <w:rsid w:val="00E21D1C"/>
    <w:rsid w:val="00E23FEC"/>
    <w:rsid w:val="00E2702F"/>
    <w:rsid w:val="00E30F80"/>
    <w:rsid w:val="00E310B3"/>
    <w:rsid w:val="00E33F21"/>
    <w:rsid w:val="00E4019C"/>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7C0"/>
    <w:rsid w:val="00F14AF4"/>
    <w:rsid w:val="00F16C26"/>
    <w:rsid w:val="00F16D66"/>
    <w:rsid w:val="00F22F43"/>
    <w:rsid w:val="00F25E41"/>
    <w:rsid w:val="00F26554"/>
    <w:rsid w:val="00F273C2"/>
    <w:rsid w:val="00F30A0C"/>
    <w:rsid w:val="00F3175F"/>
    <w:rsid w:val="00F31E55"/>
    <w:rsid w:val="00F3487B"/>
    <w:rsid w:val="00F40478"/>
    <w:rsid w:val="00F40F32"/>
    <w:rsid w:val="00F41147"/>
    <w:rsid w:val="00F42A36"/>
    <w:rsid w:val="00F43DF2"/>
    <w:rsid w:val="00F51966"/>
    <w:rsid w:val="00F55278"/>
    <w:rsid w:val="00F55E55"/>
    <w:rsid w:val="00F60F6C"/>
    <w:rsid w:val="00F665CB"/>
    <w:rsid w:val="00F70FCE"/>
    <w:rsid w:val="00F73171"/>
    <w:rsid w:val="00F74E58"/>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8786A1"/>
  <w15:docId w15:val="{6DD1B65A-4DD4-40D1-8E09-543D00703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1370</Words>
  <Characters>7811</Characters>
  <Application>Microsoft Office Word</Application>
  <DocSecurity>0</DocSecurity>
  <Lines>65</Lines>
  <Paragraphs>18</Paragraphs>
  <ScaleCrop>false</ScaleCrop>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36</cp:revision>
  <dcterms:created xsi:type="dcterms:W3CDTF">2024-05-09T08:25:00Z</dcterms:created>
  <dcterms:modified xsi:type="dcterms:W3CDTF">2024-08-09T01:07:00Z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